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jc w:val="center"/>
        <w:rPr>
          <w:rFonts w:ascii="宋体"/>
          <w:b/>
          <w:color w:val="000000" w:themeColor="text1"/>
          <w:kern w:val="0"/>
          <w:sz w:val="84"/>
          <w:szCs w:val="84"/>
          <w14:textFill>
            <w14:solidFill>
              <w14:schemeClr w14:val="tx1"/>
            </w14:solidFill>
          </w14:textFill>
        </w:rPr>
      </w:pPr>
      <w:r>
        <w:rPr>
          <w:rFonts w:hint="eastAsia" w:eastAsiaTheme="minorEastAsia"/>
        </w:rPr>
        <w:drawing>
          <wp:inline distT="0" distB="0" distL="114300" distR="114300">
            <wp:extent cx="1530985" cy="1530985"/>
            <wp:effectExtent l="0" t="0" r="12065" b="12065"/>
            <wp:docPr id="2" name="图片 2" descr="6fd3ef9d93f5bfe28ec7ef2f31e6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d3ef9d93f5bfe28ec7ef2f31e6a1a"/>
                    <pic:cNvPicPr>
                      <a:picLocks noChangeAspect="1"/>
                    </pic:cNvPicPr>
                  </pic:nvPicPr>
                  <pic:blipFill>
                    <a:blip r:embed="rId6"/>
                    <a:stretch>
                      <a:fillRect/>
                    </a:stretch>
                  </pic:blipFill>
                  <pic:spPr>
                    <a:xfrm>
                      <a:off x="0" y="0"/>
                      <a:ext cx="1530985" cy="1530985"/>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84"/>
          <w:szCs w:val="84"/>
          <w14:textFill>
            <w14:solidFill>
              <w14:schemeClr w14:val="tx1"/>
            </w14:solidFill>
          </w14:textFill>
        </w:rPr>
      </w:pPr>
      <w:r>
        <w:rPr>
          <w:rFonts w:hint="eastAsia" w:ascii="宋体"/>
          <w:b/>
          <w:color w:val="000000" w:themeColor="text1"/>
          <w:kern w:val="0"/>
          <w:sz w:val="84"/>
          <w:szCs w:val="84"/>
          <w14:textFill>
            <w14:solidFill>
              <w14:schemeClr w14:val="tx1"/>
            </w14:solidFill>
          </w14:textFill>
        </w:rPr>
        <w:t>竞争性谈判文件</w:t>
      </w:r>
    </w:p>
    <w:p>
      <w:pPr>
        <w:pStyle w:val="11"/>
        <w:snapToGrid w:val="0"/>
        <w:spacing w:before="120" w:after="120" w:line="360" w:lineRule="auto"/>
        <w:ind w:firstLine="1285" w:firstLineChars="400"/>
        <w:rPr>
          <w:rFonts w:hAnsi="宋体"/>
          <w:b/>
          <w:color w:val="000000"/>
          <w:sz w:val="32"/>
          <w:szCs w:val="32"/>
        </w:rPr>
      </w:pPr>
      <w:r>
        <w:rPr>
          <w:rFonts w:hint="eastAsia" w:hAnsi="宋体"/>
          <w:b/>
          <w:color w:val="000000"/>
          <w:sz w:val="32"/>
          <w:szCs w:val="32"/>
        </w:rPr>
        <w:t>项目编号：守诚招备【2022】0</w:t>
      </w:r>
      <w:r>
        <w:rPr>
          <w:rFonts w:hint="eastAsia" w:hAnsi="宋体"/>
          <w:b/>
          <w:color w:val="000000"/>
          <w:sz w:val="32"/>
          <w:szCs w:val="32"/>
          <w:lang w:val="en-US" w:eastAsia="zh-CN"/>
        </w:rPr>
        <w:t>28</w:t>
      </w:r>
      <w:r>
        <w:rPr>
          <w:rFonts w:hint="eastAsia" w:hAnsi="宋体"/>
          <w:b/>
          <w:color w:val="000000"/>
          <w:sz w:val="32"/>
          <w:szCs w:val="32"/>
        </w:rPr>
        <w:t>号</w:t>
      </w:r>
    </w:p>
    <w:p>
      <w:pPr>
        <w:pStyle w:val="11"/>
        <w:snapToGrid w:val="0"/>
        <w:spacing w:before="120" w:after="120" w:line="360" w:lineRule="auto"/>
        <w:jc w:val="center"/>
        <w:rPr>
          <w:rFonts w:hAnsi="宋体"/>
          <w:b/>
          <w:color w:val="000000"/>
          <w:sz w:val="36"/>
          <w:szCs w:val="36"/>
        </w:rPr>
      </w:pPr>
    </w:p>
    <w:p>
      <w:pPr>
        <w:pStyle w:val="12"/>
        <w:rPr>
          <w:rFonts w:hAnsi="宋体"/>
          <w:b/>
          <w:color w:val="000000"/>
          <w:sz w:val="36"/>
          <w:szCs w:val="36"/>
        </w:rPr>
      </w:pPr>
    </w:p>
    <w:p/>
    <w:p>
      <w:pPr>
        <w:pStyle w:val="11"/>
        <w:snapToGrid w:val="0"/>
        <w:spacing w:before="120" w:after="120" w:line="360" w:lineRule="auto"/>
        <w:jc w:val="center"/>
        <w:rPr>
          <w:rFonts w:hint="eastAsia" w:hAnsi="宋体" w:eastAsia="宋体"/>
          <w:b/>
          <w:color w:val="000000"/>
          <w:sz w:val="32"/>
          <w:szCs w:val="32"/>
          <w:lang w:eastAsia="zh-CN"/>
        </w:rPr>
      </w:pPr>
      <w:r>
        <w:rPr>
          <w:rFonts w:hint="eastAsia" w:hAnsi="宋体"/>
          <w:b/>
          <w:color w:val="000000"/>
          <w:sz w:val="32"/>
          <w:szCs w:val="32"/>
        </w:rPr>
        <w:t>采购项目：</w:t>
      </w:r>
      <w:r>
        <w:rPr>
          <w:rFonts w:hint="eastAsia" w:hAnsi="宋体"/>
          <w:b/>
          <w:color w:val="000000"/>
          <w:sz w:val="32"/>
          <w:szCs w:val="32"/>
          <w:lang w:eastAsia="zh-CN"/>
        </w:rPr>
        <w:t>三门县健跳镇下叶水库安全鉴定项目（三次招标）</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spacing w:line="360" w:lineRule="auto"/>
        <w:ind w:firstLine="1600" w:firstLineChars="500"/>
        <w:rPr>
          <w:rFonts w:hint="default" w:ascii="宋体" w:eastAsia="宋体"/>
          <w:kern w:val="0"/>
          <w:sz w:val="32"/>
          <w:szCs w:val="32"/>
          <w:lang w:val="en-US" w:eastAsia="zh-CN"/>
        </w:rPr>
      </w:pPr>
      <w:r>
        <w:rPr>
          <w:rFonts w:hint="eastAsia" w:ascii="宋体"/>
          <w:kern w:val="0"/>
          <w:sz w:val="32"/>
          <w:szCs w:val="32"/>
        </w:rPr>
        <w:t>采购人：三门县</w:t>
      </w:r>
      <w:r>
        <w:rPr>
          <w:rFonts w:hint="eastAsia" w:ascii="宋体"/>
          <w:kern w:val="0"/>
          <w:sz w:val="32"/>
          <w:szCs w:val="32"/>
          <w:lang w:val="en-US" w:eastAsia="zh-CN"/>
        </w:rPr>
        <w:t>健跳镇人民政府</w:t>
      </w:r>
    </w:p>
    <w:p>
      <w:pPr>
        <w:pStyle w:val="2"/>
        <w:spacing w:line="360" w:lineRule="auto"/>
        <w:jc w:val="center"/>
        <w:rPr>
          <w:rFonts w:hint="eastAsia" w:ascii="宋体"/>
          <w:kern w:val="0"/>
          <w:sz w:val="32"/>
          <w:szCs w:val="32"/>
        </w:rPr>
      </w:pPr>
      <w:r>
        <w:rPr>
          <w:rFonts w:hint="eastAsia" w:ascii="宋体"/>
          <w:kern w:val="0"/>
          <w:sz w:val="32"/>
          <w:szCs w:val="32"/>
        </w:rPr>
        <w:t>代理机构：宁波守诚项目管理有限公司</w:t>
      </w:r>
    </w:p>
    <w:p>
      <w:pPr>
        <w:pStyle w:val="3"/>
        <w:jc w:val="center"/>
        <w:rPr>
          <w:rFonts w:hint="default" w:ascii="宋体" w:hAnsi="Times New Roman" w:eastAsia="宋体" w:cs="Times New Roman"/>
          <w:kern w:val="0"/>
          <w:sz w:val="32"/>
          <w:szCs w:val="32"/>
          <w:lang w:val="en-US" w:eastAsia="zh-CN" w:bidi="ar-SA"/>
        </w:rPr>
      </w:pPr>
      <w:r>
        <w:rPr>
          <w:rFonts w:hint="eastAsia" w:ascii="宋体" w:hAnsi="Times New Roman" w:eastAsia="宋体" w:cs="Times New Roman"/>
          <w:kern w:val="0"/>
          <w:sz w:val="32"/>
          <w:szCs w:val="32"/>
          <w:lang w:val="en-US" w:eastAsia="zh-CN" w:bidi="ar-SA"/>
        </w:rPr>
        <w:t>招标监管机构：</w:t>
      </w:r>
      <w:r>
        <w:rPr>
          <w:rFonts w:hint="eastAsia" w:ascii="宋体" w:cs="Times New Roman"/>
          <w:kern w:val="0"/>
          <w:sz w:val="32"/>
          <w:szCs w:val="32"/>
          <w:lang w:val="en-US" w:eastAsia="zh-CN" w:bidi="ar-SA"/>
        </w:rPr>
        <w:t>三门县健跳镇公共资源交易中心</w:t>
      </w:r>
    </w:p>
    <w:p>
      <w:pPr>
        <w:pStyle w:val="3"/>
        <w:spacing w:line="360" w:lineRule="auto"/>
        <w:ind w:firstLine="320"/>
        <w:jc w:val="center"/>
        <w:rPr>
          <w:rFonts w:ascii="宋体"/>
          <w:kern w:val="0"/>
          <w:sz w:val="32"/>
          <w:szCs w:val="32"/>
        </w:rPr>
      </w:pPr>
    </w:p>
    <w:p>
      <w:pPr>
        <w:pStyle w:val="3"/>
        <w:spacing w:line="360" w:lineRule="auto"/>
        <w:ind w:firstLine="320"/>
        <w:jc w:val="center"/>
        <w:rPr>
          <w:sz w:val="32"/>
          <w:szCs w:val="32"/>
        </w:rPr>
      </w:pPr>
      <w:r>
        <w:rPr>
          <w:rFonts w:hint="eastAsia" w:ascii="宋体"/>
          <w:kern w:val="0"/>
          <w:sz w:val="32"/>
          <w:szCs w:val="32"/>
        </w:rPr>
        <w:t>2022年</w:t>
      </w:r>
      <w:r>
        <w:rPr>
          <w:rFonts w:hint="eastAsia" w:ascii="宋体"/>
          <w:kern w:val="0"/>
          <w:sz w:val="32"/>
          <w:szCs w:val="32"/>
          <w:lang w:val="en-US" w:eastAsia="zh-CN"/>
        </w:rPr>
        <w:t>7</w:t>
      </w:r>
      <w:r>
        <w:rPr>
          <w:rFonts w:hint="eastAsia" w:ascii="宋体"/>
          <w:kern w:val="0"/>
          <w:sz w:val="32"/>
          <w:szCs w:val="32"/>
        </w:rPr>
        <w:t>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14:textFill>
            <w14:solidFill>
              <w14:schemeClr w14:val="tx1"/>
            </w14:solidFill>
          </w14:textFill>
        </w:rPr>
      </w:pPr>
    </w:p>
    <w:p>
      <w:pPr>
        <w:jc w:val="center"/>
        <w:rPr>
          <w:rFonts w:ascii="宋体" w:hAnsi="宋体" w:cs="Arial"/>
          <w:b/>
          <w:bCs/>
          <w:color w:val="000000" w:themeColor="text1"/>
          <w:sz w:val="40"/>
          <w:szCs w:val="40"/>
          <w14:textFill>
            <w14:solidFill>
              <w14:schemeClr w14:val="tx1"/>
            </w14:solidFill>
          </w14:textFill>
        </w:rPr>
      </w:pPr>
      <w:r>
        <w:rPr>
          <w:rFonts w:hint="eastAsia" w:ascii="宋体" w:hAnsi="宋体" w:cs="Arial"/>
          <w:b/>
          <w:bCs/>
          <w:color w:val="000000" w:themeColor="text1"/>
          <w:sz w:val="40"/>
          <w:szCs w:val="40"/>
          <w14:textFill>
            <w14:solidFill>
              <w14:schemeClr w14:val="tx1"/>
            </w14:solidFill>
          </w14:textFill>
        </w:rPr>
        <w:t>目    录</w:t>
      </w:r>
    </w:p>
    <w:p>
      <w:pPr>
        <w:spacing w:line="360" w:lineRule="auto"/>
        <w:ind w:firstLine="703" w:firstLineChars="250"/>
        <w:jc w:val="left"/>
        <w:rPr>
          <w:rFonts w:ascii="宋体" w:hAnsi="宋体"/>
          <w:b/>
          <w:color w:val="000000" w:themeColor="text1"/>
          <w:sz w:val="28"/>
          <w:szCs w:val="28"/>
          <w14:textFill>
            <w14:solidFill>
              <w14:schemeClr w14:val="tx1"/>
            </w14:solidFill>
          </w14:textFill>
        </w:rPr>
      </w:pPr>
    </w:p>
    <w:p>
      <w:pPr>
        <w:spacing w:line="360" w:lineRule="auto"/>
        <w:ind w:firstLine="703" w:firstLineChars="250"/>
        <w:jc w:val="left"/>
        <w:rPr>
          <w:rFonts w:ascii="宋体" w:hAnsi="宋体"/>
          <w:b/>
          <w:color w:val="000000" w:themeColor="text1"/>
          <w:sz w:val="28"/>
          <w:szCs w:val="28"/>
          <w14:textFill>
            <w14:solidFill>
              <w14:schemeClr w14:val="tx1"/>
            </w14:solidFill>
          </w14:textFill>
        </w:rPr>
      </w:pP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第一章 竞争性谈判采购公告</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第二章　供应商须知</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第三章　谈判内容</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第四章  政府采购合同主要条款指引</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r>
        <w:rPr>
          <w:rFonts w:hint="eastAsia" w:ascii="宋体"/>
          <w:b/>
          <w:color w:val="000000" w:themeColor="text1"/>
          <w:kern w:val="0"/>
          <w:sz w:val="36"/>
          <w14:textFill>
            <w14:solidFill>
              <w14:schemeClr w14:val="tx1"/>
            </w14:solidFill>
          </w14:textFill>
        </w:rPr>
        <w:br w:type="page"/>
      </w:r>
    </w:p>
    <w:p>
      <w:pPr>
        <w:pStyle w:val="21"/>
        <w:numPr>
          <w:ilvl w:val="0"/>
          <w:numId w:val="2"/>
        </w:numPr>
      </w:pPr>
      <w:r>
        <w:rPr>
          <w:rFonts w:hint="eastAsia"/>
        </w:rPr>
        <w:t>竞争性谈判</w:t>
      </w:r>
      <w:r>
        <w:rPr>
          <w:rFonts w:hint="eastAsia"/>
          <w:lang w:val="en-US" w:eastAsia="zh-CN"/>
        </w:rPr>
        <w:t>公告</w:t>
      </w:r>
    </w:p>
    <w:p>
      <w:pPr>
        <w:spacing w:line="360" w:lineRule="auto"/>
        <w:ind w:firstLine="480" w:firstLineChars="200"/>
        <w:rPr>
          <w:rFonts w:ascii="宋体"/>
          <w:color w:val="000000" w:themeColor="text1"/>
          <w:kern w:val="0"/>
          <w:sz w:val="24"/>
          <w14:textFill>
            <w14:solidFill>
              <w14:schemeClr w14:val="tx1"/>
            </w14:solidFill>
          </w14:textFill>
        </w:rPr>
      </w:pP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根据《中华人民共和国政府采购法》、《中华人民共和国政府采购法实施条例》和财政部第74号《政府采购非招标采购方式管理办法》等有关规定</w:t>
      </w:r>
      <w:r>
        <w:rPr>
          <w:rFonts w:ascii="宋体"/>
          <w:color w:val="000000" w:themeColor="text1"/>
          <w:kern w:val="0"/>
          <w:sz w:val="24"/>
          <w14:textFill>
            <w14:solidFill>
              <w14:schemeClr w14:val="tx1"/>
            </w14:solidFill>
          </w14:textFill>
        </w:rPr>
        <w:t xml:space="preserve">, </w:t>
      </w:r>
      <w:r>
        <w:rPr>
          <w:rFonts w:hint="eastAsia" w:ascii="宋体"/>
          <w:color w:val="000000" w:themeColor="text1"/>
          <w:kern w:val="0"/>
          <w:sz w:val="24"/>
          <w14:textFill>
            <w14:solidFill>
              <w14:schemeClr w14:val="tx1"/>
            </w14:solidFill>
          </w14:textFill>
        </w:rPr>
        <w:t>受采购人的委托，现就</w:t>
      </w:r>
      <w:r>
        <w:rPr>
          <w:rFonts w:hint="eastAsia" w:ascii="宋体"/>
          <w:color w:val="000000" w:themeColor="text1"/>
          <w:kern w:val="0"/>
          <w:sz w:val="24"/>
          <w:u w:val="single"/>
          <w:lang w:eastAsia="zh-CN"/>
          <w14:textFill>
            <w14:solidFill>
              <w14:schemeClr w14:val="tx1"/>
            </w14:solidFill>
          </w14:textFill>
        </w:rPr>
        <w:t>三门县健跳镇人民政府</w:t>
      </w:r>
      <w:r>
        <w:rPr>
          <w:rFonts w:hint="eastAsia" w:ascii="宋体" w:hAnsi="宋体"/>
          <w:sz w:val="24"/>
        </w:rPr>
        <w:t>单</w:t>
      </w:r>
      <w:r>
        <w:rPr>
          <w:rFonts w:hint="eastAsia" w:ascii="宋体"/>
          <w:kern w:val="0"/>
          <w:sz w:val="24"/>
        </w:rPr>
        <w:t>位</w:t>
      </w:r>
      <w:r>
        <w:rPr>
          <w:rFonts w:hint="eastAsia" w:ascii="宋体"/>
          <w:color w:val="000000" w:themeColor="text1"/>
          <w:kern w:val="0"/>
          <w:sz w:val="24"/>
          <w:u w:val="single"/>
          <w:lang w:eastAsia="zh-CN"/>
          <w14:textFill>
            <w14:solidFill>
              <w14:schemeClr w14:val="tx1"/>
            </w14:solidFill>
          </w14:textFill>
        </w:rPr>
        <w:t>三门县健跳镇下叶水库安全鉴定项目（三次招标）</w:t>
      </w:r>
      <w:r>
        <w:rPr>
          <w:rFonts w:hint="eastAsia" w:ascii="宋体"/>
          <w:color w:val="000000" w:themeColor="text1"/>
          <w:kern w:val="0"/>
          <w:sz w:val="24"/>
          <w14:textFill>
            <w14:solidFill>
              <w14:schemeClr w14:val="tx1"/>
            </w14:solidFill>
          </w14:textFill>
        </w:rPr>
        <w:t>进行竞争性谈判采购</w:t>
      </w:r>
      <w:r>
        <w:rPr>
          <w:rFonts w:hint="eastAsia" w:ascii="宋体" w:hAnsi="宋体"/>
          <w:kern w:val="0"/>
          <w:sz w:val="24"/>
        </w:rPr>
        <w:t>，欢迎合格供应商前来</w:t>
      </w:r>
      <w:r>
        <w:rPr>
          <w:rFonts w:hint="eastAsia"/>
          <w:sz w:val="24"/>
        </w:rPr>
        <w:t>洽谈</w:t>
      </w:r>
      <w:r>
        <w:rPr>
          <w:rFonts w:hint="eastAsia" w:ascii="宋体" w:hAnsi="宋体"/>
          <w:kern w:val="0"/>
          <w:sz w:val="24"/>
        </w:rPr>
        <w:t>。</w:t>
      </w:r>
    </w:p>
    <w:p>
      <w:pPr>
        <w:pStyle w:val="4"/>
        <w:spacing w:before="0" w:after="0" w:line="360" w:lineRule="auto"/>
        <w:rPr>
          <w:rFonts w:asciiTheme="minorEastAsia" w:hAnsiTheme="minorEastAsia" w:eastAsiaTheme="minorEastAsia"/>
          <w:color w:val="auto"/>
          <w:sz w:val="28"/>
        </w:rPr>
      </w:pPr>
      <w:r>
        <w:rPr>
          <w:rFonts w:hint="eastAsia" w:asciiTheme="minorEastAsia" w:hAnsiTheme="minorEastAsia" w:eastAsiaTheme="minorEastAsia"/>
          <w:color w:val="auto"/>
          <w:sz w:val="28"/>
        </w:rPr>
        <w:t>一、项目编号：守诚招备【2022】0</w:t>
      </w:r>
      <w:r>
        <w:rPr>
          <w:rFonts w:hint="eastAsia" w:asciiTheme="minorEastAsia" w:hAnsiTheme="minorEastAsia" w:eastAsiaTheme="minorEastAsia"/>
          <w:color w:val="auto"/>
          <w:sz w:val="28"/>
          <w:lang w:val="en-US" w:eastAsia="zh-CN"/>
        </w:rPr>
        <w:t>28</w:t>
      </w:r>
      <w:r>
        <w:rPr>
          <w:rFonts w:hint="eastAsia" w:asciiTheme="minorEastAsia" w:hAnsiTheme="minorEastAsia" w:eastAsiaTheme="minorEastAsia"/>
          <w:color w:val="auto"/>
          <w:sz w:val="28"/>
        </w:rPr>
        <w:t>号</w:t>
      </w:r>
    </w:p>
    <w:p>
      <w:pPr>
        <w:pStyle w:val="4"/>
        <w:spacing w:before="0" w:after="0" w:line="360"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sz w:val="28"/>
        </w:rPr>
        <w:t>二、项目概况：</w:t>
      </w:r>
      <w:r>
        <w:rPr>
          <w:rFonts w:hint="eastAsia" w:ascii="宋体" w:hAnsi="Times New Roman" w:eastAsia="宋体" w:cs="Times New Roman"/>
          <w:b w:val="0"/>
          <w:bCs w:val="0"/>
          <w:color w:val="000000" w:themeColor="text1"/>
          <w:kern w:val="0"/>
          <w:sz w:val="24"/>
          <w:szCs w:val="24"/>
          <w14:textFill>
            <w14:solidFill>
              <w14:schemeClr w14:val="tx1"/>
            </w14:solidFill>
          </w14:textFill>
        </w:rPr>
        <w:t>本项目为</w:t>
      </w:r>
      <w:r>
        <w:rPr>
          <w:rFonts w:hint="eastAsia" w:ascii="宋体" w:hAnsi="Times New Roman" w:eastAsia="宋体" w:cs="Times New Roman"/>
          <w:b w:val="0"/>
          <w:bCs w:val="0"/>
          <w:color w:val="000000" w:themeColor="text1"/>
          <w:kern w:val="0"/>
          <w:sz w:val="24"/>
          <w:szCs w:val="24"/>
          <w:lang w:eastAsia="zh-CN"/>
          <w14:textFill>
            <w14:solidFill>
              <w14:schemeClr w14:val="tx1"/>
            </w14:solidFill>
          </w14:textFill>
        </w:rPr>
        <w:t>三门县健跳镇下叶水库安全鉴定项目</w:t>
      </w:r>
      <w:r>
        <w:rPr>
          <w:rFonts w:hint="eastAsia" w:ascii="宋体" w:hAnsi="Times New Roman" w:eastAsia="宋体" w:cs="Times New Roman"/>
          <w:b w:val="0"/>
          <w:bCs w:val="0"/>
          <w:color w:val="000000" w:themeColor="text1"/>
          <w:kern w:val="0"/>
          <w:sz w:val="24"/>
          <w:szCs w:val="24"/>
          <w14:textFill>
            <w14:solidFill>
              <w14:schemeClr w14:val="tx1"/>
            </w14:solidFill>
          </w14:textFill>
        </w:rPr>
        <w:t>采购，具体详见采购需求。</w:t>
      </w:r>
    </w:p>
    <w:p>
      <w:pPr>
        <w:rPr>
          <w:rFonts w:asciiTheme="minorEastAsia" w:hAnsiTheme="minorEastAsia" w:eastAsiaTheme="minorEastAsia" w:cstheme="majorBidi"/>
          <w:b/>
          <w:bCs/>
          <w:color w:val="FF0000"/>
          <w:sz w:val="28"/>
          <w:szCs w:val="32"/>
        </w:rPr>
      </w:pPr>
      <w:r>
        <w:rPr>
          <w:rFonts w:hint="eastAsia" w:asciiTheme="minorEastAsia" w:hAnsiTheme="minorEastAsia" w:eastAsiaTheme="minorEastAsia" w:cstheme="majorBidi"/>
          <w:b/>
          <w:bCs/>
          <w:color w:val="auto"/>
          <w:sz w:val="28"/>
          <w:szCs w:val="32"/>
        </w:rPr>
        <w:t>三、上限价：</w:t>
      </w:r>
      <w:r>
        <w:rPr>
          <w:rFonts w:hint="eastAsia" w:ascii="宋体"/>
          <w:color w:val="auto"/>
          <w:kern w:val="0"/>
          <w:sz w:val="24"/>
        </w:rPr>
        <w:t>人民币</w:t>
      </w:r>
      <w:r>
        <w:rPr>
          <w:rFonts w:hint="eastAsia" w:ascii="宋体"/>
          <w:color w:val="auto"/>
          <w:kern w:val="0"/>
          <w:sz w:val="24"/>
          <w:lang w:val="en-US" w:eastAsia="zh-CN"/>
        </w:rPr>
        <w:t>170000</w:t>
      </w:r>
      <w:r>
        <w:rPr>
          <w:rFonts w:hint="eastAsia" w:ascii="宋体"/>
          <w:color w:val="auto"/>
          <w:kern w:val="0"/>
          <w:sz w:val="24"/>
        </w:rPr>
        <w:t>元</w:t>
      </w:r>
    </w:p>
    <w:p>
      <w:pPr>
        <w:pStyle w:val="4"/>
        <w:adjustRightInd w:val="0"/>
        <w:snapToGrid w:val="0"/>
        <w:spacing w:before="0" w:after="0" w:line="288"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sz w:val="28"/>
        </w:rPr>
        <w:t>四、合格谈判供应商的资格条件</w:t>
      </w:r>
    </w:p>
    <w:p>
      <w:pPr>
        <w:pStyle w:val="4"/>
        <w:adjustRightInd w:val="0"/>
        <w:snapToGrid w:val="0"/>
        <w:spacing w:before="0" w:after="0" w:line="360"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宋体" w:hAnsi="Times New Roman" w:eastAsia="宋体" w:cs="Times New Roman"/>
          <w:b w:val="0"/>
          <w:bCs w:val="0"/>
          <w:color w:val="000000" w:themeColor="text1"/>
          <w:kern w:val="0"/>
          <w:sz w:val="24"/>
          <w:szCs w:val="24"/>
          <w14:textFill>
            <w14:solidFill>
              <w14:schemeClr w14:val="tx1"/>
            </w14:solidFill>
          </w14:textFill>
        </w:rPr>
        <w:t>（一）符合《中华人民共和国政府采购法》第二十二条规定的谈判供应商资格条件。</w:t>
      </w:r>
    </w:p>
    <w:p>
      <w:pPr>
        <w:spacing w:line="360" w:lineRule="auto"/>
        <w:rPr>
          <w:rFonts w:ascii="宋体"/>
          <w:color w:val="000000" w:themeColor="text1"/>
          <w:kern w:val="0"/>
          <w:sz w:val="24"/>
          <w14:textFill>
            <w14:solidFill>
              <w14:schemeClr w14:val="tx1"/>
            </w14:solidFill>
          </w14:textFill>
        </w:rPr>
      </w:pPr>
      <w:r>
        <w:rPr>
          <w:rFonts w:hint="eastAsia"/>
        </w:rPr>
        <w:t>（二）</w:t>
      </w:r>
      <w:r>
        <w:rPr>
          <w:rFonts w:hint="eastAsia" w:ascii="宋体"/>
          <w:color w:val="000000" w:themeColor="text1"/>
          <w:kern w:val="0"/>
          <w:sz w:val="24"/>
          <w14:textFill>
            <w14:solidFill>
              <w14:schemeClr w14:val="tx1"/>
            </w14:solidFill>
          </w14:textFill>
        </w:rPr>
        <w:t>未被“信用中国”（www.creditchina.gov.cn）、中国政府采购网（www.ccgp.gov.cn）列入失信被执行人、重大税收违法案件当事人名单、政府采购严重违法失信行为记录名单。</w:t>
      </w:r>
    </w:p>
    <w:p>
      <w:pPr>
        <w:adjustRightInd w:val="0"/>
        <w:snapToGrid w:val="0"/>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（三）本项目供应商特定条件：具有水利工程行业设计乙级及以上设计资质的独立法人企业。</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五、报名及谈判文件获取的方式、时间</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1.获取招标文件方式：凡有意参加投标者，请于公告发布之日起，可通过三门县公共资源交易中心（http://www.sanmen.gov.cn/col/col1229610743/index.html）自行下载招标文件。</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2.谈判文件获取时</w:t>
      </w:r>
      <w:r>
        <w:rPr>
          <w:rFonts w:hint="eastAsia" w:ascii="宋体"/>
          <w:b w:val="0"/>
          <w:bCs w:val="0"/>
          <w:color w:val="000000" w:themeColor="text1"/>
          <w:kern w:val="0"/>
          <w:sz w:val="24"/>
          <w14:textFill>
            <w14:solidFill>
              <w14:schemeClr w14:val="tx1"/>
            </w14:solidFill>
          </w14:textFill>
        </w:rPr>
        <w:t>间</w:t>
      </w:r>
      <w:r>
        <w:rPr>
          <w:rFonts w:hint="eastAsia" w:ascii="宋体"/>
          <w:b w:val="0"/>
          <w:bCs w:val="0"/>
          <w:color w:val="auto"/>
          <w:kern w:val="0"/>
          <w:sz w:val="24"/>
        </w:rPr>
        <w:t>：2022年</w:t>
      </w:r>
      <w:r>
        <w:rPr>
          <w:rFonts w:hint="eastAsia" w:ascii="宋体"/>
          <w:b w:val="0"/>
          <w:bCs w:val="0"/>
          <w:color w:val="auto"/>
          <w:kern w:val="0"/>
          <w:sz w:val="24"/>
          <w:lang w:val="en-US" w:eastAsia="zh-CN"/>
        </w:rPr>
        <w:t>7</w:t>
      </w:r>
      <w:r>
        <w:rPr>
          <w:rFonts w:hint="eastAsia" w:ascii="宋体"/>
          <w:b w:val="0"/>
          <w:bCs w:val="0"/>
          <w:color w:val="auto"/>
          <w:kern w:val="0"/>
          <w:sz w:val="24"/>
        </w:rPr>
        <w:t>月</w:t>
      </w:r>
      <w:r>
        <w:rPr>
          <w:rFonts w:hint="eastAsia" w:ascii="宋体"/>
          <w:b w:val="0"/>
          <w:bCs w:val="0"/>
          <w:color w:val="auto"/>
          <w:kern w:val="0"/>
          <w:sz w:val="24"/>
          <w:lang w:val="en-US" w:eastAsia="zh-CN"/>
        </w:rPr>
        <w:t>14</w:t>
      </w:r>
      <w:r>
        <w:rPr>
          <w:rFonts w:hint="eastAsia" w:ascii="宋体"/>
          <w:b w:val="0"/>
          <w:bCs w:val="0"/>
          <w:color w:val="auto"/>
          <w:kern w:val="0"/>
          <w:sz w:val="24"/>
        </w:rPr>
        <w:t>日</w:t>
      </w:r>
      <w:r>
        <w:rPr>
          <w:rFonts w:hint="eastAsia" w:ascii="宋体" w:hAnsi="宋体" w:cs="宋体"/>
          <w:b w:val="0"/>
          <w:bCs w:val="0"/>
          <w:color w:val="auto"/>
          <w:kern w:val="0"/>
          <w:sz w:val="24"/>
        </w:rPr>
        <w:t xml:space="preserve"> 至2022年</w:t>
      </w:r>
      <w:r>
        <w:rPr>
          <w:rFonts w:hint="eastAsia" w:ascii="宋体" w:hAnsi="宋体" w:cs="宋体"/>
          <w:b w:val="0"/>
          <w:bCs w:val="0"/>
          <w:color w:val="auto"/>
          <w:kern w:val="0"/>
          <w:sz w:val="24"/>
          <w:lang w:val="en-US" w:eastAsia="zh-CN"/>
        </w:rPr>
        <w:t>7</w:t>
      </w:r>
      <w:r>
        <w:rPr>
          <w:rFonts w:hint="eastAsia" w:ascii="宋体" w:hAnsi="宋体" w:cs="宋体"/>
          <w:b w:val="0"/>
          <w:bCs w:val="0"/>
          <w:color w:val="auto"/>
          <w:kern w:val="0"/>
          <w:sz w:val="24"/>
        </w:rPr>
        <w:t>月</w:t>
      </w:r>
      <w:r>
        <w:rPr>
          <w:rFonts w:hint="eastAsia" w:ascii="宋体" w:hAnsi="宋体" w:cs="宋体"/>
          <w:b w:val="0"/>
          <w:bCs w:val="0"/>
          <w:color w:val="auto"/>
          <w:kern w:val="0"/>
          <w:sz w:val="24"/>
          <w:lang w:val="en-US" w:eastAsia="zh-CN"/>
        </w:rPr>
        <w:t>21</w:t>
      </w:r>
      <w:r>
        <w:rPr>
          <w:rFonts w:hint="eastAsia" w:ascii="宋体" w:hAnsi="宋体" w:cs="宋体"/>
          <w:b w:val="0"/>
          <w:bCs w:val="0"/>
          <w:color w:val="auto"/>
          <w:kern w:val="0"/>
          <w:sz w:val="24"/>
        </w:rPr>
        <w:t>日</w:t>
      </w:r>
      <w:r>
        <w:rPr>
          <w:rFonts w:hint="eastAsia" w:ascii="宋体"/>
          <w:b w:val="0"/>
          <w:bCs w:val="0"/>
          <w:color w:val="auto"/>
          <w:kern w:val="0"/>
          <w:sz w:val="24"/>
        </w:rPr>
        <w:t>。</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六、响应文件递交截止时间及谈判开始时间、地点</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本次谈判将于</w:t>
      </w:r>
      <w:r>
        <w:rPr>
          <w:rFonts w:hint="eastAsia" w:ascii="宋体"/>
          <w:color w:val="auto"/>
          <w:kern w:val="0"/>
          <w:sz w:val="24"/>
        </w:rPr>
        <w:t>2022年</w:t>
      </w:r>
      <w:r>
        <w:rPr>
          <w:rFonts w:hint="eastAsia" w:ascii="宋体"/>
          <w:color w:val="auto"/>
          <w:kern w:val="0"/>
          <w:sz w:val="24"/>
          <w:lang w:val="en-US" w:eastAsia="zh-CN"/>
        </w:rPr>
        <w:t>7</w:t>
      </w:r>
      <w:r>
        <w:rPr>
          <w:rFonts w:hint="eastAsia" w:ascii="宋体"/>
          <w:color w:val="auto"/>
          <w:kern w:val="0"/>
          <w:sz w:val="24"/>
        </w:rPr>
        <w:t>月</w:t>
      </w:r>
      <w:r>
        <w:rPr>
          <w:rFonts w:hint="eastAsia" w:ascii="宋体"/>
          <w:color w:val="auto"/>
          <w:kern w:val="0"/>
          <w:sz w:val="24"/>
          <w:lang w:val="en-US" w:eastAsia="zh-CN"/>
        </w:rPr>
        <w:t>21</w:t>
      </w:r>
      <w:r>
        <w:rPr>
          <w:rFonts w:hint="eastAsia" w:ascii="宋体"/>
          <w:color w:val="auto"/>
          <w:kern w:val="0"/>
          <w:sz w:val="24"/>
        </w:rPr>
        <w:t>日9：</w:t>
      </w:r>
      <w:r>
        <w:rPr>
          <w:rFonts w:hint="eastAsia" w:ascii="宋体"/>
          <w:color w:val="auto"/>
          <w:kern w:val="0"/>
          <w:sz w:val="24"/>
          <w:lang w:val="en-US" w:eastAsia="zh-CN"/>
        </w:rPr>
        <w:t>3</w:t>
      </w:r>
      <w:r>
        <w:rPr>
          <w:rFonts w:hint="eastAsia" w:ascii="宋体"/>
          <w:color w:val="auto"/>
          <w:kern w:val="0"/>
          <w:sz w:val="24"/>
        </w:rPr>
        <w:t>0</w:t>
      </w:r>
      <w:r>
        <w:rPr>
          <w:rFonts w:hint="eastAsia" w:ascii="宋体"/>
          <w:color w:val="000000" w:themeColor="text1"/>
          <w:kern w:val="0"/>
          <w:sz w:val="24"/>
          <w14:textFill>
            <w14:solidFill>
              <w14:schemeClr w14:val="tx1"/>
            </w14:solidFill>
          </w14:textFill>
        </w:rPr>
        <w:t>在</w:t>
      </w:r>
      <w:r>
        <w:rPr>
          <w:rFonts w:hint="eastAsia" w:ascii="宋体"/>
          <w:color w:val="000000" w:themeColor="text1"/>
          <w:kern w:val="0"/>
          <w:sz w:val="24"/>
          <w:u w:val="single"/>
          <w:lang w:eastAsia="zh-CN"/>
          <w14:textFill>
            <w14:solidFill>
              <w14:schemeClr w14:val="tx1"/>
            </w14:solidFill>
          </w14:textFill>
        </w:rPr>
        <w:t>三门县健跳镇文化艺术中心四楼会议室（峧头村）</w:t>
      </w:r>
      <w:r>
        <w:rPr>
          <w:rFonts w:hint="eastAsia" w:ascii="宋体"/>
          <w:color w:val="000000" w:themeColor="text1"/>
          <w:kern w:val="0"/>
          <w:sz w:val="24"/>
          <w14:textFill>
            <w14:solidFill>
              <w14:schemeClr w14:val="tx1"/>
            </w14:solidFill>
          </w14:textFill>
        </w:rPr>
        <w:t>进行谈判，请在谈判截止时间前将谈判响应文件送达谈判地点，逾期或不符合规定的谈判响应文件恕不接受。</w:t>
      </w:r>
    </w:p>
    <w:p>
      <w:pPr>
        <w:pStyle w:val="6"/>
        <w:numPr>
          <w:ilvl w:val="0"/>
          <w:numId w:val="0"/>
        </w:numPr>
        <w:spacing w:after="120"/>
      </w:pPr>
      <w:r>
        <w:rPr>
          <w:rFonts w:hint="eastAsia" w:asciiTheme="minorEastAsia" w:hAnsiTheme="minorEastAsia" w:eastAsiaTheme="minorEastAsia" w:cstheme="majorBidi"/>
          <w:b/>
          <w:bCs/>
          <w:sz w:val="28"/>
          <w:szCs w:val="32"/>
        </w:rPr>
        <w:t>七、谈判保证金：</w:t>
      </w:r>
      <w:r>
        <w:rPr>
          <w:rFonts w:hint="eastAsia" w:ascii="宋体" w:hAnsi="宋体" w:cs="宋体"/>
          <w:b/>
          <w:color w:val="000000"/>
          <w:sz w:val="24"/>
          <w:szCs w:val="32"/>
        </w:rPr>
        <w:t>本项目谈判保证金为零。</w:t>
      </w:r>
    </w:p>
    <w:p>
      <w:pPr>
        <w:rPr>
          <w:rFonts w:asciiTheme="minorEastAsia" w:hAnsiTheme="minorEastAsia" w:eastAsiaTheme="minorEastAsia" w:cstheme="majorBidi"/>
          <w:b/>
          <w:bCs/>
          <w:sz w:val="28"/>
          <w:szCs w:val="32"/>
        </w:rPr>
      </w:pPr>
    </w:p>
    <w:p>
      <w:pPr>
        <w:rPr>
          <w:rFonts w:asciiTheme="minorEastAsia" w:hAnsiTheme="minorEastAsia" w:eastAsiaTheme="minorEastAsia" w:cstheme="majorBidi"/>
          <w:b/>
          <w:bCs/>
          <w:sz w:val="28"/>
          <w:szCs w:val="32"/>
        </w:rPr>
      </w:pPr>
      <w:r>
        <w:rPr>
          <w:rFonts w:hint="eastAsia" w:asciiTheme="minorEastAsia" w:hAnsiTheme="minorEastAsia" w:eastAsiaTheme="minorEastAsia" w:cstheme="majorBidi"/>
          <w:b/>
          <w:bCs/>
          <w:sz w:val="28"/>
          <w:szCs w:val="32"/>
        </w:rPr>
        <w:t>八、联系方式</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 xml:space="preserve">（一）采购人（受理谈判文件相关质疑及答复） </w:t>
      </w:r>
    </w:p>
    <w:p>
      <w:pPr>
        <w:spacing w:line="360" w:lineRule="auto"/>
        <w:ind w:firstLine="480" w:firstLineChars="200"/>
        <w:rPr>
          <w:rFonts w:hint="eastAsia" w:ascii="宋体" w:eastAsia="宋体"/>
          <w:kern w:val="0"/>
          <w:sz w:val="24"/>
          <w:lang w:eastAsia="zh-CN"/>
        </w:rPr>
      </w:pPr>
      <w:r>
        <w:rPr>
          <w:rFonts w:ascii="宋体"/>
          <w:kern w:val="0"/>
          <w:sz w:val="24"/>
        </w:rPr>
        <w:t>采购</w:t>
      </w:r>
      <w:r>
        <w:rPr>
          <w:rFonts w:hint="eastAsia" w:ascii="宋体"/>
          <w:kern w:val="0"/>
          <w:sz w:val="24"/>
        </w:rPr>
        <w:t>人</w:t>
      </w:r>
      <w:r>
        <w:rPr>
          <w:rFonts w:ascii="宋体"/>
          <w:kern w:val="0"/>
          <w:sz w:val="24"/>
        </w:rPr>
        <w:t>名称：</w:t>
      </w:r>
      <w:r>
        <w:rPr>
          <w:rFonts w:hint="eastAsia" w:ascii="宋体"/>
          <w:kern w:val="0"/>
          <w:sz w:val="24"/>
          <w:lang w:eastAsia="zh-CN"/>
        </w:rPr>
        <w:t>三门县健跳镇人民政府</w:t>
      </w:r>
    </w:p>
    <w:p>
      <w:pPr>
        <w:spacing w:line="360" w:lineRule="auto"/>
        <w:ind w:firstLine="480" w:firstLineChars="200"/>
        <w:rPr>
          <w:rFonts w:hint="eastAsia" w:ascii="宋体" w:eastAsia="宋体"/>
          <w:kern w:val="0"/>
          <w:sz w:val="24"/>
          <w:lang w:eastAsia="zh-CN"/>
        </w:rPr>
      </w:pPr>
      <w:r>
        <w:rPr>
          <w:rFonts w:ascii="宋体"/>
          <w:kern w:val="0"/>
          <w:sz w:val="24"/>
        </w:rPr>
        <w:t>联系人：</w:t>
      </w:r>
      <w:r>
        <w:rPr>
          <w:rFonts w:hint="eastAsia" w:ascii="宋体"/>
          <w:kern w:val="0"/>
          <w:sz w:val="24"/>
          <w:lang w:val="en-US" w:eastAsia="zh-CN"/>
        </w:rPr>
        <w:t>林辉</w:t>
      </w:r>
    </w:p>
    <w:p>
      <w:pPr>
        <w:spacing w:line="360" w:lineRule="auto"/>
        <w:ind w:firstLine="480" w:firstLineChars="200"/>
        <w:rPr>
          <w:rFonts w:ascii="宋体"/>
          <w:color w:val="FF0000"/>
          <w:kern w:val="0"/>
          <w:sz w:val="24"/>
          <w:highlight w:val="green"/>
        </w:rPr>
      </w:pPr>
      <w:r>
        <w:rPr>
          <w:rFonts w:hint="eastAsia" w:ascii="宋体"/>
          <w:kern w:val="0"/>
          <w:sz w:val="24"/>
        </w:rPr>
        <w:t>联系电话：18767651069</w:t>
      </w:r>
    </w:p>
    <w:p>
      <w:pPr>
        <w:pStyle w:val="6"/>
        <w:numPr>
          <w:ilvl w:val="0"/>
          <w:numId w:val="0"/>
        </w:numPr>
        <w:spacing w:after="120" w:line="360" w:lineRule="auto"/>
        <w:rPr>
          <w:rFonts w:asciiTheme="minorEastAsia" w:hAnsiTheme="minorEastAsia" w:eastAsiaTheme="minorEastAsia" w:cstheme="majorBidi"/>
          <w:b/>
          <w:bCs/>
          <w:sz w:val="28"/>
          <w:szCs w:val="32"/>
        </w:rPr>
      </w:pP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（二）采购代理机构</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代理机构名称：宁波守诚项目管理有限公司</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联系人：谢紫凌</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联系电话：0576-83318599</w:t>
      </w:r>
    </w:p>
    <w:p>
      <w:pPr>
        <w:pStyle w:val="2"/>
        <w:spacing w:line="360" w:lineRule="auto"/>
      </w:pPr>
    </w:p>
    <w:p>
      <w:pPr>
        <w:pStyle w:val="3"/>
        <w:ind w:firstLine="240"/>
      </w:pPr>
    </w:p>
    <w:p/>
    <w:p>
      <w:pPr>
        <w:pStyle w:val="2"/>
      </w:pPr>
    </w:p>
    <w:p>
      <w:pPr>
        <w:pStyle w:val="3"/>
        <w:ind w:firstLine="240"/>
      </w:pPr>
    </w:p>
    <w:p>
      <w:pPr>
        <w:spacing w:line="360" w:lineRule="auto"/>
        <w:ind w:firstLine="480" w:firstLineChars="200"/>
        <w:jc w:val="right"/>
        <w:rPr>
          <w:rFonts w:hint="eastAsia" w:eastAsia="宋体"/>
          <w:lang w:eastAsia="zh-CN"/>
        </w:rPr>
      </w:pPr>
      <w:r>
        <w:rPr>
          <w:rFonts w:hint="eastAsia"/>
          <w:sz w:val="24"/>
        </w:rPr>
        <w:t>招标人：</w:t>
      </w:r>
      <w:r>
        <w:rPr>
          <w:rFonts w:hint="eastAsia"/>
          <w:sz w:val="24"/>
          <w:lang w:eastAsia="zh-CN"/>
        </w:rPr>
        <w:t>三门县健跳镇人民政府</w:t>
      </w:r>
    </w:p>
    <w:p>
      <w:pPr>
        <w:pStyle w:val="2"/>
        <w:spacing w:line="360" w:lineRule="auto"/>
        <w:jc w:val="right"/>
        <w:rPr>
          <w:rFonts w:hint="eastAsia" w:ascii="宋体"/>
          <w:color w:val="000000" w:themeColor="text1"/>
          <w:kern w:val="0"/>
          <w14:textFill>
            <w14:solidFill>
              <w14:schemeClr w14:val="tx1"/>
            </w14:solidFill>
          </w14:textFill>
        </w:rPr>
      </w:pPr>
      <w:r>
        <w:rPr>
          <w:rFonts w:hint="eastAsia"/>
        </w:rPr>
        <w:t>采购代理机构：</w:t>
      </w:r>
      <w:r>
        <w:rPr>
          <w:rFonts w:hint="eastAsia" w:ascii="宋体"/>
          <w:color w:val="000000" w:themeColor="text1"/>
          <w:kern w:val="0"/>
          <w14:textFill>
            <w14:solidFill>
              <w14:schemeClr w14:val="tx1"/>
            </w14:solidFill>
          </w14:textFill>
        </w:rPr>
        <w:t>宁波守诚项目管理有限公司</w:t>
      </w:r>
    </w:p>
    <w:p>
      <w:pPr>
        <w:pStyle w:val="3"/>
        <w:jc w:val="right"/>
      </w:pPr>
      <w:r>
        <w:rPr>
          <w:rFonts w:hint="eastAsia"/>
        </w:rPr>
        <w:t>招标监管机构：三门县健跳镇公共资源交易中心</w:t>
      </w:r>
    </w:p>
    <w:p>
      <w:pPr>
        <w:pStyle w:val="3"/>
        <w:spacing w:line="360" w:lineRule="auto"/>
        <w:ind w:firstLine="240"/>
        <w:jc w:val="right"/>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pPr>
      <w:r>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t>2022年</w:t>
      </w:r>
      <w:r>
        <w:rPr>
          <w:rFonts w:hint="eastAsia" w:ascii="宋体" w:cs="Times New Roman"/>
          <w:color w:val="000000" w:themeColor="text1"/>
          <w:kern w:val="0"/>
          <w:sz w:val="24"/>
          <w:szCs w:val="24"/>
          <w:lang w:val="en-US" w:eastAsia="zh-CN" w:bidi="ar-SA"/>
          <w14:textFill>
            <w14:solidFill>
              <w14:schemeClr w14:val="tx1"/>
            </w14:solidFill>
          </w14:textFill>
        </w:rPr>
        <w:t>7</w:t>
      </w:r>
      <w:r>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t>月</w:t>
      </w:r>
      <w:r>
        <w:rPr>
          <w:rFonts w:hint="eastAsia" w:ascii="宋体" w:cs="Times New Roman"/>
          <w:color w:val="000000" w:themeColor="text1"/>
          <w:kern w:val="0"/>
          <w:sz w:val="24"/>
          <w:szCs w:val="24"/>
          <w:lang w:val="en-US" w:eastAsia="zh-CN" w:bidi="ar-SA"/>
          <w14:textFill>
            <w14:solidFill>
              <w14:schemeClr w14:val="tx1"/>
            </w14:solidFill>
          </w14:textFill>
        </w:rPr>
        <w:t>14</w:t>
      </w:r>
      <w:r>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t>日</w:t>
      </w:r>
    </w:p>
    <w:p>
      <w:pPr>
        <w:pStyle w:val="2"/>
      </w:pPr>
    </w:p>
    <w:p>
      <w:pPr>
        <w:pStyle w:val="3"/>
        <w:ind w:firstLine="240"/>
      </w:pPr>
    </w:p>
    <w:p/>
    <w:p>
      <w:pPr>
        <w:pStyle w:val="2"/>
      </w:pPr>
    </w:p>
    <w:p>
      <w:pPr>
        <w:pStyle w:val="3"/>
        <w:ind w:firstLine="240"/>
      </w:pPr>
    </w:p>
    <w:p/>
    <w:p>
      <w:pPr>
        <w:pStyle w:val="2"/>
      </w:pPr>
    </w:p>
    <w:p>
      <w:pPr>
        <w:pStyle w:val="3"/>
        <w:ind w:firstLine="240"/>
      </w:pPr>
    </w:p>
    <w:p>
      <w:pPr>
        <w:pStyle w:val="2"/>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center"/>
        <w:rPr>
          <w:rFonts w:ascii="宋体" w:hAnsi="宋体"/>
          <w:sz w:val="40"/>
          <w:szCs w:val="40"/>
        </w:rPr>
      </w:pPr>
      <w:r>
        <w:rPr>
          <w:rFonts w:hint="eastAsia"/>
          <w:sz w:val="32"/>
          <w:szCs w:val="32"/>
        </w:rPr>
        <w:t>第二章 供应商须知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745"/>
        <w:gridCol w:w="5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项    目</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供应商特定资格要求</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答疑会或</w:t>
            </w:r>
            <w:r>
              <w:rPr>
                <w:rFonts w:hint="eastAsia" w:asciiTheme="majorEastAsia" w:hAnsiTheme="majorEastAsia" w:eastAsiaTheme="majorEastAsia" w:cstheme="majorEastAsia"/>
                <w:color w:val="000000"/>
                <w:sz w:val="24"/>
              </w:rPr>
              <w:t>现场踏勘</w:t>
            </w:r>
          </w:p>
        </w:tc>
        <w:tc>
          <w:tcPr>
            <w:tcW w:w="58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3</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谈判响应文件包装要求</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资格证明、商务技术文件一正二副（正本副本，封装成一袋），报价文件一正二副（正本副本，封装成一袋）。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响应有效期</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谈判响应有效期为谈判后90天，</w:t>
            </w:r>
            <w:r>
              <w:rPr>
                <w:rFonts w:hint="eastAsia" w:asciiTheme="majorEastAsia" w:hAnsiTheme="majorEastAsia" w:eastAsiaTheme="majorEastAsia" w:cstheme="majorEastAsia"/>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谈判响应文件递交</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截止时间：北京时间</w:t>
            </w:r>
            <w:r>
              <w:rPr>
                <w:rFonts w:hint="eastAsia" w:asciiTheme="majorEastAsia" w:hAnsiTheme="majorEastAsia" w:eastAsiaTheme="majorEastAsia" w:cstheme="majorEastAsia"/>
                <w:sz w:val="24"/>
              </w:rPr>
              <w:t>20</w:t>
            </w:r>
            <w:r>
              <w:rPr>
                <w:rFonts w:hint="eastAsia" w:cs="Arial" w:asciiTheme="minorEastAsia" w:hAnsiTheme="minorEastAsia" w:eastAsiaTheme="minorEastAsia"/>
                <w:sz w:val="24"/>
              </w:rPr>
              <w:t>22年</w:t>
            </w:r>
            <w:r>
              <w:rPr>
                <w:rFonts w:hint="eastAsia" w:cs="Arial" w:asciiTheme="minorEastAsia" w:hAnsiTheme="minorEastAsia" w:eastAsiaTheme="minorEastAsia"/>
                <w:sz w:val="24"/>
                <w:lang w:val="en-US" w:eastAsia="zh-CN"/>
              </w:rPr>
              <w:t>7</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21</w:t>
            </w:r>
            <w:r>
              <w:rPr>
                <w:rFonts w:hint="eastAsia" w:cs="Arial" w:asciiTheme="minorEastAsia" w:hAnsiTheme="minorEastAsia" w:eastAsiaTheme="minorEastAsia"/>
                <w:sz w:val="24"/>
              </w:rPr>
              <w:t>日9</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0</w:t>
            </w:r>
            <w:r>
              <w:rPr>
                <w:rFonts w:hint="eastAsia" w:asciiTheme="majorEastAsia" w:hAnsiTheme="majorEastAsia" w:eastAsiaTheme="majorEastAsia" w:cstheme="majorEastAsia"/>
                <w:color w:val="000000"/>
                <w:sz w:val="24"/>
              </w:rPr>
              <w:t xml:space="preserve">时 </w:t>
            </w:r>
          </w:p>
          <w:p>
            <w:pPr>
              <w:spacing w:line="360" w:lineRule="auto"/>
              <w:rPr>
                <w:rFonts w:hint="eastAsia" w:asciiTheme="majorEastAsia" w:hAnsiTheme="majorEastAsia" w:eastAsiaTheme="majorEastAsia" w:cstheme="majorEastAsia"/>
                <w:color w:val="000000"/>
                <w:sz w:val="24"/>
                <w:lang w:eastAsia="zh-CN"/>
              </w:rPr>
            </w:pPr>
            <w:r>
              <w:rPr>
                <w:rFonts w:hint="eastAsia" w:asciiTheme="majorEastAsia" w:hAnsiTheme="majorEastAsia" w:eastAsiaTheme="majorEastAsia" w:cstheme="majorEastAsia"/>
                <w:color w:val="000000"/>
                <w:sz w:val="24"/>
              </w:rPr>
              <w:t>递交地点：</w:t>
            </w:r>
            <w:r>
              <w:rPr>
                <w:rFonts w:hint="eastAsia" w:asciiTheme="majorEastAsia" w:hAnsiTheme="majorEastAsia" w:eastAsiaTheme="majorEastAsia" w:cstheme="majorEastAsia"/>
                <w:color w:val="000000"/>
                <w:sz w:val="24"/>
                <w:lang w:eastAsia="zh-CN"/>
              </w:rPr>
              <w:t>三门县健跳镇文化艺术中心四楼会议室（峧头村）</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开标时间及地点</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inorEastAsia" w:cstheme="majorEastAsia"/>
                <w:color w:val="000000"/>
                <w:sz w:val="24"/>
              </w:rPr>
            </w:pPr>
            <w:r>
              <w:rPr>
                <w:rFonts w:hint="eastAsia" w:asciiTheme="majorEastAsia" w:hAnsiTheme="majorEastAsia" w:eastAsiaTheme="majorEastAsia" w:cstheme="majorEastAsia"/>
                <w:color w:val="000000"/>
                <w:sz w:val="24"/>
              </w:rPr>
              <w:t>时间：北京时间20</w:t>
            </w:r>
            <w:r>
              <w:rPr>
                <w:rFonts w:hint="eastAsia" w:cs="Arial" w:asciiTheme="minorEastAsia" w:hAnsiTheme="minorEastAsia" w:eastAsiaTheme="minorEastAsia"/>
                <w:sz w:val="24"/>
              </w:rPr>
              <w:t>22年</w:t>
            </w:r>
            <w:r>
              <w:rPr>
                <w:rFonts w:hint="eastAsia" w:cs="Arial" w:asciiTheme="minorEastAsia" w:hAnsiTheme="minorEastAsia" w:eastAsiaTheme="minorEastAsia"/>
                <w:sz w:val="24"/>
                <w:lang w:val="en-US" w:eastAsia="zh-CN"/>
              </w:rPr>
              <w:t>7</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21</w:t>
            </w:r>
            <w:r>
              <w:rPr>
                <w:rFonts w:hint="eastAsia" w:cs="Arial" w:asciiTheme="minorEastAsia" w:hAnsiTheme="minorEastAsia" w:eastAsiaTheme="minorEastAsia"/>
                <w:sz w:val="24"/>
              </w:rPr>
              <w:t>日9:</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0时</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地点：</w:t>
            </w:r>
            <w:r>
              <w:rPr>
                <w:rFonts w:hint="eastAsia" w:asciiTheme="majorEastAsia" w:hAnsiTheme="majorEastAsia" w:eastAsiaTheme="majorEastAsia" w:cstheme="majorEastAsia"/>
                <w:color w:val="000000"/>
                <w:sz w:val="24"/>
                <w:lang w:eastAsia="zh-CN"/>
              </w:rPr>
              <w:t>三门县健跳镇文化艺术中心四楼会议室（峧头村）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lang w:val="zh-CN"/>
              </w:rPr>
            </w:pPr>
            <w:r>
              <w:rPr>
                <w:rFonts w:hint="eastAsia" w:asciiTheme="majorEastAsia" w:hAnsiTheme="majorEastAsia" w:eastAsiaTheme="majorEastAsia" w:cstheme="majorEastAsia"/>
                <w:color w:val="000000"/>
                <w:sz w:val="24"/>
                <w:lang w:val="zh-CN"/>
              </w:rPr>
              <w:t>实质性条款</w:t>
            </w:r>
          </w:p>
        </w:tc>
        <w:tc>
          <w:tcPr>
            <w:tcW w:w="58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color w:val="000000"/>
                <w:kern w:val="0"/>
                <w:sz w:val="24"/>
                <w:lang w:val="zh-CN"/>
              </w:rPr>
            </w:pPr>
            <w:r>
              <w:rPr>
                <w:rFonts w:hint="eastAsia" w:asciiTheme="majorEastAsia" w:hAnsiTheme="majorEastAsia" w:eastAsiaTheme="majorEastAsia" w:cstheme="majorEastAsia"/>
                <w:color w:val="000000"/>
                <w:kern w:val="0"/>
                <w:sz w:val="24"/>
                <w:lang w:val="zh-CN"/>
              </w:rPr>
              <w:t>带“</w:t>
            </w:r>
            <w:r>
              <w:rPr>
                <w:rFonts w:hint="eastAsia" w:asciiTheme="majorEastAsia" w:hAnsiTheme="majorEastAsia" w:eastAsiaTheme="majorEastAsia" w:cstheme="majorEastAsia"/>
                <w:bCs/>
                <w:color w:val="000000"/>
                <w:sz w:val="24"/>
              </w:rPr>
              <w:t>▲”的条款是实质性条款，谈判响应文件须作出实质性响应，</w:t>
            </w:r>
            <w:r>
              <w:rPr>
                <w:rFonts w:hint="eastAsia" w:ascii="宋体" w:hAnsi="宋体" w:cs="宋体"/>
                <w:bCs/>
                <w:color w:val="000000"/>
                <w:sz w:val="24"/>
              </w:rPr>
              <w:t>否则作无效响应处理</w:t>
            </w:r>
            <w:r>
              <w:rPr>
                <w:rFonts w:hint="eastAsia" w:asciiTheme="majorEastAsia" w:hAnsiTheme="majorEastAsia" w:eastAsiaTheme="majorEastAsia" w:cstheme="majorEastAsia"/>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8</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解释权</w:t>
            </w:r>
          </w:p>
        </w:tc>
        <w:tc>
          <w:tcPr>
            <w:tcW w:w="58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rPr>
            </w:pPr>
            <w:r>
              <w:rPr>
                <w:rFonts w:hint="eastAsia" w:ascii="宋体" w:hAnsi="宋体" w:cs="宋体"/>
                <w:sz w:val="24"/>
              </w:rPr>
              <w:t>本磋商文件解释权属于采购人和</w:t>
            </w:r>
            <w:r>
              <w:rPr>
                <w:rFonts w:hint="eastAsia" w:cs="Arial"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9</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sz w:val="24"/>
              </w:rPr>
            </w:pPr>
            <w:r>
              <w:rPr>
                <w:rFonts w:hint="eastAsia" w:ascii="宋体" w:hAnsi="宋体" w:cs="宋体"/>
                <w:sz w:val="24"/>
              </w:rPr>
              <w:t>评审结果公示</w:t>
            </w:r>
          </w:p>
        </w:tc>
        <w:tc>
          <w:tcPr>
            <w:tcW w:w="58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4"/>
              </w:rPr>
            </w:pPr>
            <w:r>
              <w:rPr>
                <w:rFonts w:hint="eastAsia" w:ascii="宋体" w:hAnsi="宋体" w:cs="宋体"/>
                <w:sz w:val="24"/>
              </w:rPr>
              <w:t xml:space="preserve">评审结束后，评审结果公示于“三门县公共资源交易中心”（http://www.sanmen.gov.cn/col/col1229610743/index.html)网上公示三天 。 </w:t>
            </w:r>
          </w:p>
        </w:tc>
      </w:tr>
    </w:tbl>
    <w:p>
      <w:pPr>
        <w:snapToGrid w:val="0"/>
        <w:spacing w:line="360" w:lineRule="auto"/>
        <w:rPr>
          <w:rFonts w:asciiTheme="majorEastAsia" w:hAnsiTheme="majorEastAsia" w:eastAsiaTheme="majorEastAsia"/>
          <w:b/>
          <w:color w:val="000000" w:themeColor="text1"/>
          <w:sz w:val="24"/>
          <w14:textFill>
            <w14:solidFill>
              <w14:schemeClr w14:val="tx1"/>
            </w14:solidFill>
          </w14:textFill>
        </w:rPr>
      </w:pPr>
    </w:p>
    <w:p>
      <w:pPr>
        <w:rPr>
          <w:rFonts w:asciiTheme="majorEastAsia" w:hAnsiTheme="majorEastAsia" w:eastAsiaTheme="majorEastAsia"/>
          <w:b/>
          <w:color w:val="000000" w:themeColor="text1"/>
          <w:sz w:val="24"/>
          <w14:textFill>
            <w14:solidFill>
              <w14:schemeClr w14:val="tx1"/>
            </w14:solidFill>
          </w14:textFill>
        </w:rPr>
      </w:pPr>
      <w:r>
        <w:rPr>
          <w:rFonts w:asciiTheme="majorEastAsia" w:hAnsiTheme="majorEastAsia" w:eastAsiaTheme="majorEastAsia"/>
          <w:b/>
          <w:color w:val="000000" w:themeColor="text1"/>
          <w:sz w:val="24"/>
          <w14:textFill>
            <w14:solidFill>
              <w14:schemeClr w14:val="tx1"/>
            </w14:solidFill>
          </w14:textFill>
        </w:rPr>
        <w:br w:type="page"/>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一 、总  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w:t>
      </w:r>
      <w:r>
        <w:rPr>
          <w:rFonts w:ascii="宋体"/>
          <w:b/>
          <w:color w:val="000000" w:themeColor="text1"/>
          <w:kern w:val="0"/>
          <w:sz w:val="24"/>
          <w14:textFill>
            <w14:solidFill>
              <w14:schemeClr w14:val="tx1"/>
            </w14:solidFill>
          </w14:textFill>
        </w:rPr>
        <w:t>适用范围</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本谈判文件适用于本次项目的谈判、评审、确定成交供应商、验收、合同履约、付款等行为（法律、法规另有规定的，从其规定）。</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（二）定义</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 “采购组织机构”指采购人委托组织磋商的集中采购机构或采购代理机构。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.采购人：是指委托集中采购机构或采购代理机构采购本次项目的国家机关、事业单位和团体组织。</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w:t>
      </w:r>
      <w:r>
        <w:rPr>
          <w:rFonts w:hint="eastAsia" w:ascii="宋体"/>
          <w:color w:val="000000" w:themeColor="text1"/>
          <w:kern w:val="0"/>
          <w:sz w:val="24"/>
          <w14:textFill>
            <w14:solidFill>
              <w14:schemeClr w14:val="tx1"/>
            </w14:solidFill>
          </w14:textFill>
        </w:rPr>
        <w:t>.谈判供应商：是</w:t>
      </w:r>
      <w:r>
        <w:rPr>
          <w:rFonts w:ascii="宋体"/>
          <w:color w:val="000000" w:themeColor="text1"/>
          <w:kern w:val="0"/>
          <w:sz w:val="24"/>
          <w14:textFill>
            <w14:solidFill>
              <w14:schemeClr w14:val="tx1"/>
            </w14:solidFill>
          </w14:textFill>
        </w:rPr>
        <w:t>指向</w:t>
      </w:r>
      <w:r>
        <w:rPr>
          <w:rFonts w:hint="eastAsia" w:ascii="宋体"/>
          <w:color w:val="000000" w:themeColor="text1"/>
          <w:kern w:val="0"/>
          <w:sz w:val="24"/>
          <w14:textFill>
            <w14:solidFill>
              <w14:schemeClr w14:val="tx1"/>
            </w14:solidFill>
          </w14:textFill>
        </w:rPr>
        <w:t>采购组织机构</w:t>
      </w:r>
      <w:r>
        <w:rPr>
          <w:rFonts w:ascii="宋体"/>
          <w:color w:val="000000" w:themeColor="text1"/>
          <w:kern w:val="0"/>
          <w:sz w:val="24"/>
          <w14:textFill>
            <w14:solidFill>
              <w14:schemeClr w14:val="tx1"/>
            </w14:solidFill>
          </w14:textFill>
        </w:rPr>
        <w:t>提交</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文件的单位或个人。</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货物</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是指各种形态和种类的物品，包括原材料、燃料、设备、产品等。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服务</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是指除货物和工程以外的政府采购对象，包括各类专业服务、信息网络开发服务、金融保险服务、运输服务，以及维修与维护服务等。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6</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 xml:space="preserve"> “书面形式”包括信函、传真等。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 xml:space="preserve"> “▲”系指实质性要求条款。</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（三）谈判费用</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3.1不论谈判结果如何，供应商均应自行承担所有与谈判有关的全部费用（谈判文件有相关规定除外）。</w:t>
      </w:r>
    </w:p>
    <w:p>
      <w:pPr>
        <w:pStyle w:val="2"/>
        <w:ind w:firstLine="482" w:firstLineChars="200"/>
        <w:rPr>
          <w:b/>
          <w:bCs/>
          <w:highlight w:val="cyan"/>
        </w:rPr>
      </w:pPr>
      <w:r>
        <w:rPr>
          <w:rFonts w:hint="eastAsia" w:ascii="宋体"/>
          <w:b/>
          <w:bCs/>
          <w:kern w:val="0"/>
        </w:rPr>
        <w:t>3.2本次项目招标代理费由中标人支付，共计人民币</w:t>
      </w:r>
      <w:r>
        <w:rPr>
          <w:rFonts w:hint="eastAsia" w:ascii="宋体"/>
          <w:b/>
          <w:bCs/>
          <w:kern w:val="0"/>
          <w:lang w:val="en-US" w:eastAsia="zh-CN"/>
        </w:rPr>
        <w:t>肆仟伍佰</w:t>
      </w:r>
      <w:r>
        <w:rPr>
          <w:rFonts w:hint="eastAsia" w:ascii="宋体"/>
          <w:b/>
          <w:bCs/>
          <w:kern w:val="0"/>
        </w:rPr>
        <w:t>元整（￥</w:t>
      </w:r>
      <w:r>
        <w:rPr>
          <w:rFonts w:hint="eastAsia" w:ascii="宋体"/>
          <w:b/>
          <w:bCs/>
          <w:kern w:val="0"/>
          <w:lang w:val="en-US" w:eastAsia="zh-CN"/>
        </w:rPr>
        <w:t>4500</w:t>
      </w:r>
      <w:r>
        <w:rPr>
          <w:rFonts w:hint="eastAsia" w:ascii="宋体"/>
          <w:b/>
          <w:bCs/>
          <w:kern w:val="0"/>
        </w:rPr>
        <w:t xml:space="preserve">   元），在领取中标通知书时一次性付清。</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（四）特别说明</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w:t>
      </w:r>
      <w:r>
        <w:rPr>
          <w:rFonts w:hint="eastAsia" w:ascii="宋体"/>
          <w:color w:val="000000" w:themeColor="text1"/>
          <w:kern w:val="0"/>
          <w:sz w:val="24"/>
          <w14:textFill>
            <w14:solidFill>
              <w14:schemeClr w14:val="tx1"/>
            </w14:solidFill>
          </w14:textFill>
        </w:rPr>
        <w:t>.供应商谈判</w:t>
      </w:r>
      <w:r>
        <w:rPr>
          <w:rFonts w:ascii="宋体"/>
          <w:color w:val="000000" w:themeColor="text1"/>
          <w:kern w:val="0"/>
          <w:sz w:val="24"/>
          <w14:textFill>
            <w14:solidFill>
              <w14:schemeClr w14:val="tx1"/>
            </w14:solidFill>
          </w14:textFill>
        </w:rPr>
        <w:t>所使用的资格、信誉、荣誉、业绩与企业认证必须为本法人所拥有。</w:t>
      </w:r>
      <w:r>
        <w:rPr>
          <w:rFonts w:hint="eastAsia" w:ascii="宋体"/>
          <w:color w:val="000000" w:themeColor="text1"/>
          <w:kern w:val="0"/>
          <w:sz w:val="24"/>
          <w14:textFill>
            <w14:solidFill>
              <w14:schemeClr w14:val="tx1"/>
            </w14:solidFill>
          </w14:textFill>
        </w:rPr>
        <w:t>供应商谈判</w:t>
      </w:r>
      <w:r>
        <w:rPr>
          <w:rFonts w:ascii="宋体"/>
          <w:color w:val="000000" w:themeColor="text1"/>
          <w:kern w:val="0"/>
          <w:sz w:val="24"/>
          <w14:textFill>
            <w14:solidFill>
              <w14:schemeClr w14:val="tx1"/>
            </w14:solidFill>
          </w14:textFill>
        </w:rPr>
        <w:t>所使用的采购项目实施人员必须为本法人员工（</w:t>
      </w:r>
      <w:r>
        <w:rPr>
          <w:rFonts w:hint="eastAsia" w:ascii="宋体"/>
          <w:color w:val="000000" w:themeColor="text1"/>
          <w:kern w:val="0"/>
          <w:sz w:val="24"/>
          <w14:textFill>
            <w14:solidFill>
              <w14:schemeClr w14:val="tx1"/>
            </w14:solidFill>
          </w14:textFill>
        </w:rPr>
        <w:t>指</w:t>
      </w:r>
      <w:r>
        <w:rPr>
          <w:rFonts w:ascii="宋体"/>
          <w:color w:val="000000" w:themeColor="text1"/>
          <w:kern w:val="0"/>
          <w:sz w:val="24"/>
          <w14:textFill>
            <w14:solidFill>
              <w14:schemeClr w14:val="tx1"/>
            </w14:solidFill>
          </w14:textFill>
        </w:rPr>
        <w:t>必须为本法人或控股公司正式员工）。</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.供应商所标产品除谈判文件中明确规定要求“提供官网截图或相应检测报告的证明材料”以外，所有技术参数描述均以谈判文件为准。</w:t>
      </w:r>
      <w:r>
        <w:rPr>
          <w:rFonts w:hint="eastAsia" w:ascii="宋体"/>
          <w:b/>
          <w:color w:val="000000" w:themeColor="text1"/>
          <w:kern w:val="0"/>
          <w:sz w:val="24"/>
          <w14:textFill>
            <w14:solidFill>
              <w14:schemeClr w14:val="tx1"/>
            </w14:solidFill>
          </w14:textFill>
        </w:rPr>
        <w:t>谈判供应商对所投产品技术参数的真实性承担法律责任。</w:t>
      </w:r>
      <w:r>
        <w:rPr>
          <w:rFonts w:hint="eastAsia" w:ascii="宋体"/>
          <w:color w:val="000000" w:themeColor="text1"/>
          <w:kern w:val="0"/>
          <w:sz w:val="24"/>
          <w14:textFill>
            <w14:solidFill>
              <w14:schemeClr w14:val="tx1"/>
            </w14:solidFill>
          </w14:textFill>
        </w:rPr>
        <w:t>项目谈判结束后、质疑期限内，如有质疑供应商认为成交供应商所投产品、谈判文件技术参数与谈判需求存在重大偏离、错误、甚至造假的情况，应提供具体有效的证明材料。</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在</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活动中提供任何虚假材料,其</w:t>
      </w:r>
      <w:r>
        <w:rPr>
          <w:rFonts w:hint="eastAsia" w:ascii="宋体"/>
          <w:color w:val="000000" w:themeColor="text1"/>
          <w:kern w:val="0"/>
          <w:sz w:val="24"/>
          <w14:textFill>
            <w14:solidFill>
              <w14:schemeClr w14:val="tx1"/>
            </w14:solidFill>
          </w14:textFill>
        </w:rPr>
        <w:t>响应</w:t>
      </w:r>
      <w:r>
        <w:rPr>
          <w:rFonts w:ascii="宋体"/>
          <w:color w:val="000000" w:themeColor="text1"/>
          <w:kern w:val="0"/>
          <w:sz w:val="24"/>
          <w14:textFill>
            <w14:solidFill>
              <w14:schemeClr w14:val="tx1"/>
            </w14:solidFill>
          </w14:textFill>
        </w:rPr>
        <w:t>无效，并报监管部门查处；成交后发现的,根据《中华人民共和国政府采购法》第七十七条第一款第一项之规定</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color w:val="000000" w:themeColor="text1"/>
          <w:kern w:val="0"/>
          <w:sz w:val="24"/>
          <w14:textFill>
            <w14:solidFill>
              <w14:schemeClr w14:val="tx1"/>
            </w14:solidFill>
          </w14:textFill>
        </w:rPr>
        <w:t>。</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.供应商不得相互串通谈判报价，不得妨碍其他供应商的公平竞争，不得损害采购人或其他供应商的合法权益，供应商不得以向采购人、谈判小组成员行贿或者采取其他不正当手段谋取成交。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.为采购项目提供整体设计、规范编制或者项目管理、监理、检测等服务的供应商，不得再参加该采购项目的其他采购活动。</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6</w:t>
      </w:r>
      <w:r>
        <w:rPr>
          <w:rFonts w:hint="eastAsia" w:ascii="宋体"/>
          <w:color w:val="000000" w:themeColor="text1"/>
          <w:kern w:val="0"/>
          <w:sz w:val="24"/>
          <w14:textFill>
            <w14:solidFill>
              <w14:schemeClr w14:val="tx1"/>
            </w14:solidFill>
          </w14:textFill>
        </w:rPr>
        <w:t>.谈判响应文件格式中的表格式样可以根据项目差别做适当调整,但应当保持表格样式基本形态不变。</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w:t>
      </w:r>
      <w:r>
        <w:rPr>
          <w:rFonts w:hint="eastAsia" w:ascii="宋体"/>
          <w:color w:val="000000" w:themeColor="text1"/>
          <w:kern w:val="0"/>
          <w:sz w:val="24"/>
          <w14:textFill>
            <w14:solidFill>
              <w14:schemeClr w14:val="tx1"/>
            </w14:solidFill>
          </w14:textFill>
        </w:rPr>
        <w:t>.单位负责人为同一人或者存在直接控股、管理关系的不同供应商，不得参加同一合同项下的政府采购活动。</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8</w:t>
      </w:r>
      <w:r>
        <w:rPr>
          <w:rFonts w:hint="eastAsia" w:ascii="宋体"/>
          <w:color w:val="000000" w:themeColor="text1"/>
          <w:kern w:val="0"/>
          <w:sz w:val="24"/>
          <w14:textFill>
            <w14:solidFill>
              <w14:schemeClr w14:val="tx1"/>
            </w14:solidFill>
          </w14:textFill>
        </w:rPr>
        <w:t>.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二、谈判响应文件</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（一）谈判响应文件的组成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供应商应仔细阅读谈判文件的所有内容，按谈判采购文件的要求，详细编制谈判响应文件</w:t>
      </w:r>
      <w:r>
        <w:rPr>
          <w:rFonts w:ascii="宋体"/>
          <w:color w:val="000000" w:themeColor="text1"/>
          <w:kern w:val="0"/>
          <w:sz w:val="24"/>
          <w14:textFill>
            <w14:solidFill>
              <w14:schemeClr w14:val="tx1"/>
            </w14:solidFill>
          </w14:textFill>
        </w:rPr>
        <w:t>。</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▲1.资格证明内容的组成：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（1）谈判声明书；</w:t>
      </w:r>
    </w:p>
    <w:p>
      <w:pPr>
        <w:spacing w:line="360" w:lineRule="auto"/>
        <w:ind w:firstLine="480" w:firstLineChars="200"/>
      </w:pPr>
      <w:r>
        <w:rPr>
          <w:rFonts w:hint="eastAsia" w:ascii="宋体"/>
          <w:color w:val="000000" w:themeColor="text1"/>
          <w:kern w:val="0"/>
          <w:sz w:val="24"/>
          <w14:textFill>
            <w14:solidFill>
              <w14:schemeClr w14:val="tx1"/>
            </w14:solidFill>
          </w14:textFill>
        </w:rPr>
        <w:t>（2）授权委托书（法定代表人亲自办理谈判响应事宜的，则无需提交)；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（3）法人或者其他组织的营业执照等证明文件，自然人的身份证明；</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（4）提供采购公告中符合供应商特定条件的有效资质证书复印件</w:t>
      </w:r>
      <w:r>
        <w:rPr>
          <w:rFonts w:hint="eastAsia" w:ascii="宋体"/>
          <w:color w:val="0000FF"/>
          <w:kern w:val="0"/>
          <w:sz w:val="24"/>
        </w:rPr>
        <w:t>，</w:t>
      </w:r>
      <w:r>
        <w:rPr>
          <w:rFonts w:hint="eastAsia" w:ascii="宋体"/>
          <w:color w:val="000000" w:themeColor="text1"/>
          <w:kern w:val="0"/>
          <w:sz w:val="24"/>
          <w14:textFill>
            <w14:solidFill>
              <w14:schemeClr w14:val="tx1"/>
            </w14:solidFill>
          </w14:textFill>
        </w:rPr>
        <w:t>以及需要说明的其他资料；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2．商务与技术内容的组成：</w:t>
      </w:r>
    </w:p>
    <w:p>
      <w:pPr>
        <w:spacing w:line="360" w:lineRule="auto"/>
        <w:ind w:firstLine="480" w:firstLineChars="200"/>
        <w:rPr>
          <w:rFonts w:hint="eastAsia" w:ascii="宋体"/>
          <w:color w:val="auto"/>
          <w:kern w:val="0"/>
          <w:sz w:val="24"/>
        </w:rPr>
      </w:pPr>
      <w:r>
        <w:rPr>
          <w:rFonts w:hint="eastAsia" w:ascii="宋体"/>
          <w:color w:val="auto"/>
          <w:kern w:val="0"/>
          <w:sz w:val="24"/>
        </w:rPr>
        <w:t>（1）供应商基本情况表（附件4）；</w:t>
      </w:r>
    </w:p>
    <w:p>
      <w:pPr>
        <w:spacing w:line="360" w:lineRule="auto"/>
        <w:ind w:firstLine="480" w:firstLineChars="200"/>
        <w:rPr>
          <w:rFonts w:hint="eastAsia" w:ascii="宋体"/>
          <w:color w:val="auto"/>
          <w:kern w:val="0"/>
          <w:sz w:val="24"/>
        </w:rPr>
      </w:pPr>
      <w:r>
        <w:rPr>
          <w:rFonts w:hint="eastAsia" w:ascii="宋体"/>
          <w:color w:val="auto"/>
          <w:kern w:val="0"/>
          <w:sz w:val="24"/>
        </w:rPr>
        <w:t>（2）团队组成人员基本情况表（附件5）；</w:t>
      </w:r>
    </w:p>
    <w:p>
      <w:pPr>
        <w:spacing w:line="360" w:lineRule="auto"/>
        <w:ind w:firstLine="480" w:firstLineChars="200"/>
        <w:rPr>
          <w:rFonts w:hint="eastAsia" w:ascii="宋体"/>
          <w:color w:val="auto"/>
          <w:kern w:val="0"/>
          <w:sz w:val="24"/>
        </w:rPr>
      </w:pPr>
      <w:r>
        <w:rPr>
          <w:rFonts w:hint="eastAsia" w:ascii="宋体"/>
          <w:color w:val="auto"/>
          <w:kern w:val="0"/>
          <w:sz w:val="24"/>
        </w:rPr>
        <w:t>（3）类似项目业绩一览表（附件6）；</w:t>
      </w:r>
    </w:p>
    <w:p>
      <w:pPr>
        <w:spacing w:line="360" w:lineRule="auto"/>
        <w:ind w:firstLine="480" w:firstLineChars="200"/>
        <w:rPr>
          <w:rFonts w:hint="eastAsia" w:ascii="宋体"/>
          <w:color w:val="auto"/>
          <w:kern w:val="0"/>
          <w:sz w:val="24"/>
        </w:rPr>
      </w:pPr>
      <w:r>
        <w:rPr>
          <w:rFonts w:hint="eastAsia" w:ascii="宋体"/>
          <w:color w:val="auto"/>
          <w:kern w:val="0"/>
          <w:sz w:val="24"/>
        </w:rPr>
        <w:t>（4）项目实施方案(附件7）：</w:t>
      </w:r>
    </w:p>
    <w:p>
      <w:pPr>
        <w:spacing w:line="360" w:lineRule="auto"/>
        <w:ind w:firstLine="480" w:firstLineChars="200"/>
        <w:rPr>
          <w:rFonts w:hint="eastAsia" w:ascii="宋体"/>
          <w:color w:val="auto"/>
          <w:kern w:val="0"/>
          <w:sz w:val="24"/>
        </w:rPr>
      </w:pPr>
      <w:r>
        <w:rPr>
          <w:rFonts w:hint="eastAsia" w:ascii="宋体"/>
          <w:color w:val="auto"/>
          <w:kern w:val="0"/>
          <w:sz w:val="24"/>
        </w:rPr>
        <w:t>A.对项目的认识与理解。</w:t>
      </w:r>
    </w:p>
    <w:p>
      <w:pPr>
        <w:spacing w:line="360" w:lineRule="auto"/>
        <w:ind w:firstLine="480" w:firstLineChars="200"/>
        <w:rPr>
          <w:rFonts w:hint="eastAsia" w:ascii="宋体"/>
          <w:color w:val="auto"/>
          <w:kern w:val="0"/>
          <w:sz w:val="24"/>
        </w:rPr>
      </w:pPr>
      <w:r>
        <w:rPr>
          <w:rFonts w:hint="eastAsia" w:ascii="宋体"/>
          <w:color w:val="auto"/>
          <w:kern w:val="0"/>
          <w:sz w:val="24"/>
        </w:rPr>
        <w:t>B.对项目的技术思路。</w:t>
      </w:r>
    </w:p>
    <w:p>
      <w:pPr>
        <w:spacing w:line="360" w:lineRule="auto"/>
        <w:ind w:firstLine="480" w:firstLineChars="200"/>
        <w:rPr>
          <w:rFonts w:hint="eastAsia" w:ascii="宋体"/>
          <w:color w:val="auto"/>
          <w:kern w:val="0"/>
          <w:sz w:val="24"/>
        </w:rPr>
      </w:pPr>
      <w:r>
        <w:rPr>
          <w:rFonts w:hint="eastAsia" w:ascii="宋体"/>
          <w:color w:val="auto"/>
          <w:kern w:val="0"/>
          <w:sz w:val="24"/>
        </w:rPr>
        <w:t>C.供应商认为需要提供的其他资料。</w:t>
      </w:r>
    </w:p>
    <w:p>
      <w:pPr>
        <w:spacing w:line="360" w:lineRule="auto"/>
        <w:ind w:firstLine="480" w:firstLineChars="200"/>
        <w:rPr>
          <w:rFonts w:ascii="宋体"/>
          <w:b/>
          <w:color w:val="000000" w:themeColor="text1"/>
          <w:kern w:val="0"/>
          <w:sz w:val="24"/>
          <w14:textFill>
            <w14:solidFill>
              <w14:schemeClr w14:val="tx1"/>
            </w14:solidFill>
          </w14:textFill>
        </w:rPr>
      </w:pPr>
      <w:r>
        <w:rPr>
          <w:rFonts w:hint="eastAsia" w:ascii="宋体"/>
          <w:color w:val="FF0000"/>
          <w:kern w:val="0"/>
          <w:sz w:val="24"/>
        </w:rPr>
        <w:t xml:space="preserve"> </w:t>
      </w:r>
      <w:r>
        <w:rPr>
          <w:rFonts w:hint="eastAsia" w:ascii="宋体"/>
          <w:b/>
          <w:color w:val="000000" w:themeColor="text1"/>
          <w:kern w:val="0"/>
          <w:sz w:val="24"/>
          <w14:textFill>
            <w14:solidFill>
              <w14:schemeClr w14:val="tx1"/>
            </w14:solidFill>
          </w14:textFill>
        </w:rPr>
        <w:t>3．报价内容的组成</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（1）报价内容由首次报价一览表、报价明细表（如有），以及供应商认为其他需要说明的内容组成。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（2）此报价为供应商针对本项目报出的唯一的首次报价，包含其它一切所要涉及到的费用，有选择的报价将被拒绝。</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（3）总报价应当包含</w:t>
      </w:r>
      <w:r>
        <w:rPr>
          <w:rFonts w:hint="eastAsia" w:ascii="宋体"/>
          <w:kern w:val="0"/>
          <w:sz w:val="24"/>
        </w:rPr>
        <w:t>本项目</w:t>
      </w:r>
      <w:r>
        <w:rPr>
          <w:rFonts w:hint="eastAsia" w:ascii="宋体"/>
          <w:color w:val="000000" w:themeColor="text1"/>
          <w:kern w:val="0"/>
          <w:sz w:val="24"/>
          <w14:textFill>
            <w14:solidFill>
              <w14:schemeClr w14:val="tx1"/>
            </w14:solidFill>
          </w14:textFill>
        </w:rPr>
        <w:t>一切所有风险责任等各项费用及不可预见费等所需的全部费用。</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（4）政府采购优惠政策相关资料、产品适用政府采购政策情况表（如有）。</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（5）相关报价单需打印或用不退色的墨水填写， 谈判报价单不得涂改和增删，如有错漏必须修改，修改处须由同一签署人签字或盖章。由于字迹模糊或表达不清引起的后果由供应商负责。</w:t>
      </w:r>
    </w:p>
    <w:p>
      <w:pPr>
        <w:spacing w:line="360" w:lineRule="auto"/>
        <w:ind w:firstLine="480" w:firstLineChars="200"/>
        <w:rPr>
          <w:rFonts w:ascii="宋体"/>
          <w:color w:val="000000" w:themeColor="text1"/>
          <w:kern w:val="0"/>
          <w:sz w:val="24"/>
          <w:highlight w:val="cyan"/>
          <w14:textFill>
            <w14:solidFill>
              <w14:schemeClr w14:val="tx1"/>
            </w14:solidFill>
          </w14:textFill>
        </w:rPr>
      </w:pPr>
      <w:r>
        <w:rPr>
          <w:rFonts w:hint="eastAsia" w:ascii="宋体"/>
          <w:color w:val="000000" w:themeColor="text1"/>
          <w:kern w:val="0"/>
          <w:sz w:val="24"/>
          <w14:textFill>
            <w14:solidFill>
              <w14:schemeClr w14:val="tx1"/>
            </w14:solidFill>
          </w14:textFill>
        </w:rPr>
        <w:t>（6）</w:t>
      </w:r>
      <w:r>
        <w:rPr>
          <w:rFonts w:ascii="宋体"/>
          <w:color w:val="000000" w:themeColor="text1"/>
          <w:kern w:val="0"/>
          <w:sz w:val="24"/>
          <w14:textFill>
            <w14:solidFill>
              <w14:schemeClr w14:val="tx1"/>
            </w14:solidFill>
          </w14:textFill>
        </w:rPr>
        <w:t>报价</w:t>
      </w:r>
      <w:r>
        <w:rPr>
          <w:rFonts w:hint="eastAsia" w:ascii="宋体"/>
          <w:color w:val="000000" w:themeColor="text1"/>
          <w:kern w:val="0"/>
          <w:sz w:val="24"/>
          <w14:textFill>
            <w14:solidFill>
              <w14:schemeClr w14:val="tx1"/>
            </w14:solidFill>
          </w14:textFill>
        </w:rPr>
        <w:t>有关表格</w:t>
      </w:r>
      <w:r>
        <w:rPr>
          <w:rFonts w:ascii="宋体"/>
          <w:color w:val="000000" w:themeColor="text1"/>
          <w:kern w:val="0"/>
          <w:sz w:val="24"/>
          <w14:textFill>
            <w14:solidFill>
              <w14:schemeClr w14:val="tx1"/>
            </w14:solidFill>
          </w14:textFill>
        </w:rPr>
        <w:t>应按</w:t>
      </w:r>
      <w:r>
        <w:rPr>
          <w:rFonts w:hint="eastAsia" w:ascii="宋体"/>
          <w:color w:val="000000" w:themeColor="text1"/>
          <w:kern w:val="0"/>
          <w:sz w:val="24"/>
          <w14:textFill>
            <w14:solidFill>
              <w14:schemeClr w14:val="tx1"/>
            </w14:solidFill>
          </w14:textFill>
        </w:rPr>
        <w:t>谈判采购</w:t>
      </w:r>
      <w:r>
        <w:rPr>
          <w:rFonts w:ascii="宋体"/>
          <w:color w:val="000000" w:themeColor="text1"/>
          <w:kern w:val="0"/>
          <w:sz w:val="24"/>
          <w14:textFill>
            <w14:solidFill>
              <w14:schemeClr w14:val="tx1"/>
            </w14:solidFill>
          </w14:textFill>
        </w:rPr>
        <w:t>文件中相关附表格式填写。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（二）谈判响应文件的制作、封装及递交要求</w:t>
      </w:r>
    </w:p>
    <w:p>
      <w:pPr>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1．谈判响应文件的制作要求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（1）谈判人应按照谈判文件组成内容及项目采购需求制作谈判响应文件，不按谈判采购文件要求制作谈判响应文件的将视情处理（拒收、扣分等），由此产生的责任由谈判人自行承担。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（2）谈判人应对所提供的全部资料的真实性承担法律责任，谈判响应文件内容中有要求盖章或签字的地方必须加盖谈判人的公章以及法定代表人或全权代表的盖章或签字。</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（3）谈判响应</w:t>
      </w:r>
      <w:r>
        <w:rPr>
          <w:rFonts w:ascii="宋体"/>
          <w:color w:val="000000" w:themeColor="text1"/>
          <w:kern w:val="0"/>
          <w:sz w:val="24"/>
          <w14:textFill>
            <w14:solidFill>
              <w14:schemeClr w14:val="tx1"/>
            </w14:solidFill>
          </w14:textFill>
        </w:rPr>
        <w:t>文件以及</w:t>
      </w:r>
      <w:r>
        <w:rPr>
          <w:rFonts w:hint="eastAsia" w:ascii="宋体"/>
          <w:color w:val="000000" w:themeColor="text1"/>
          <w:kern w:val="0"/>
          <w:sz w:val="24"/>
          <w14:textFill>
            <w14:solidFill>
              <w14:schemeClr w14:val="tx1"/>
            </w14:solidFill>
          </w14:textFill>
        </w:rPr>
        <w:t>谈判供应商</w:t>
      </w:r>
      <w:r>
        <w:rPr>
          <w:rFonts w:ascii="宋体"/>
          <w:color w:val="000000" w:themeColor="text1"/>
          <w:kern w:val="0"/>
          <w:sz w:val="24"/>
          <w14:textFill>
            <w14:solidFill>
              <w14:schemeClr w14:val="tx1"/>
            </w14:solidFill>
          </w14:textFill>
        </w:rPr>
        <w:t>与</w:t>
      </w:r>
      <w:r>
        <w:rPr>
          <w:rFonts w:hint="eastAsia" w:ascii="宋体"/>
          <w:color w:val="000000" w:themeColor="text1"/>
          <w:kern w:val="0"/>
          <w:sz w:val="24"/>
          <w14:textFill>
            <w14:solidFill>
              <w14:schemeClr w14:val="tx1"/>
            </w14:solidFill>
          </w14:textFill>
        </w:rPr>
        <w:t>采购组织机构</w:t>
      </w:r>
      <w:r>
        <w:rPr>
          <w:rFonts w:ascii="宋体"/>
          <w:color w:val="000000" w:themeColor="text1"/>
          <w:kern w:val="0"/>
          <w:sz w:val="24"/>
          <w14:textFill>
            <w14:solidFill>
              <w14:schemeClr w14:val="tx1"/>
            </w14:solidFill>
          </w14:textFill>
        </w:rPr>
        <w:t>就有关</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事宜的所有来往函电，均应以中文汉语书写。除</w:t>
      </w:r>
      <w:r>
        <w:rPr>
          <w:rFonts w:hint="eastAsia" w:ascii="宋体"/>
          <w:color w:val="000000" w:themeColor="text1"/>
          <w:kern w:val="0"/>
          <w:sz w:val="24"/>
          <w14:textFill>
            <w14:solidFill>
              <w14:schemeClr w14:val="tx1"/>
            </w14:solidFill>
          </w14:textFill>
        </w:rPr>
        <w:t>签字</w:t>
      </w:r>
      <w:r>
        <w:rPr>
          <w:rFonts w:ascii="宋体"/>
          <w:color w:val="000000" w:themeColor="text1"/>
          <w:kern w:val="0"/>
          <w:sz w:val="24"/>
          <w14:textFill>
            <w14:solidFill>
              <w14:schemeClr w14:val="tx1"/>
            </w14:solidFill>
          </w14:textFill>
        </w:rPr>
        <w:t>、盖章、专用名称等特殊情形外，以中文汉语以外的文字表述的谈判响应文件视同未提供。</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（4）谈判</w:t>
      </w:r>
      <w:r>
        <w:rPr>
          <w:rFonts w:ascii="宋体"/>
          <w:color w:val="000000" w:themeColor="text1"/>
          <w:kern w:val="0"/>
          <w:sz w:val="24"/>
          <w14:textFill>
            <w14:solidFill>
              <w14:schemeClr w14:val="tx1"/>
            </w14:solidFill>
          </w14:textFill>
        </w:rPr>
        <w:t>计量单位，</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文件已有明确规定的，使用</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文件规定的计量单位；</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文件没有规定的，应采用中华人民共和国法定计量单位（货币单位：人民币元）。</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w:t>
      </w:r>
      <w:r>
        <w:rPr>
          <w:rFonts w:ascii="宋体"/>
          <w:color w:val="000000" w:themeColor="text1"/>
          <w:kern w:val="0"/>
          <w:sz w:val="24"/>
          <w14:textFill>
            <w14:solidFill>
              <w14:schemeClr w14:val="tx1"/>
            </w14:solidFill>
          </w14:textFill>
        </w:rPr>
        <w:t>若</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不按</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文件的要求提供资格审查材料，其风险由</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（6）与本次谈判无关的内容请不要制作在内，确保谈判文件有针对性、简洁明了，同时节约纸张；谈判响应文件建议以A4纸大小双面打印并装订。</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2．谈判响应文件的封装要求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（1）谈判响应文件份数：</w:t>
      </w:r>
      <w:r>
        <w:rPr>
          <w:rFonts w:hint="eastAsia" w:ascii="宋体"/>
          <w:b/>
          <w:bCs/>
          <w:color w:val="000000" w:themeColor="text1"/>
          <w:kern w:val="0"/>
          <w:sz w:val="24"/>
          <w14:textFill>
            <w14:solidFill>
              <w14:schemeClr w14:val="tx1"/>
            </w14:solidFill>
          </w14:textFill>
        </w:rPr>
        <w:t>资格证明、商务技术文件一正二副（</w:t>
      </w:r>
      <w:r>
        <w:rPr>
          <w:rFonts w:hint="eastAsia" w:ascii="宋体"/>
          <w:b/>
          <w:bCs/>
          <w:kern w:val="0"/>
          <w:sz w:val="24"/>
        </w:rPr>
        <w:t>正本</w:t>
      </w:r>
      <w:r>
        <w:rPr>
          <w:rFonts w:hint="eastAsia" w:ascii="宋体"/>
          <w:b/>
          <w:bCs/>
          <w:color w:val="000000" w:themeColor="text1"/>
          <w:kern w:val="0"/>
          <w:sz w:val="24"/>
          <w14:textFill>
            <w14:solidFill>
              <w14:schemeClr w14:val="tx1"/>
            </w14:solidFill>
          </w14:textFill>
        </w:rPr>
        <w:t>副本，封装成一袋），报价文件一正二副（正本副本，封装成一袋）。</w:t>
      </w:r>
      <w:r>
        <w:rPr>
          <w:rFonts w:hint="eastAsia" w:ascii="宋体"/>
          <w:color w:val="000000" w:themeColor="text1"/>
          <w:kern w:val="0"/>
          <w:sz w:val="24"/>
          <w14:textFill>
            <w14:solidFill>
              <w14:schemeClr w14:val="tx1"/>
            </w14:solidFill>
          </w14:textFill>
        </w:rPr>
        <w:t>谈判响应文件的正本封面必须注明“正本”字样，副本可以采用正本的复印件。如有不同标段，请按标段号分别装订，密封要求同上。</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所有谈判响应资料按谈判采购文件的组成所列内容及顺序装订成册，并逐页连续标注页码。因谈判响应文件内容不完整、编排混乱导致谈判响应文件被误读、漏读或者查找不到相关内容的责任由供应商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请在密封袋的封口处应有谈判单位公章或谈判全权代表签字。封皮上写明项目编号、标段、谈判响应项目名称、供应商名称，并注明“谈判响应文件名称”、“谈判时启封”字样，未按上述要求密封及加写标记，采购组织机构对谈判响应文件的误投和提前启封不负责任。</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（4）项目如分标段，各标段谈判响应文件必须分开编制，并按上述份数要求单独密封包装。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（5）因密封不严、标记不明而造成失密、拒收、过早启封等情况，采购文件概不负责。</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3．谈判响应文件的递交要求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（1）谈判响应文件必须在规定时间前派人送达指定的谈判地点。谈判响应文件在截止时间后提交，采购组织机构将将拒绝接收。</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（2）如有特殊情况，采购组织机构延长截止时间和谈判时间，采购组织机构和供应商的权利和义务将受到新的截止时间和谈判时间的约束。</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4．谈判响应文件的补充、修改和撤回</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（1）供应商如需对上交的谈判响应文件进行补充、修改或撤回的，必须在谈判响应截止时间以前将书面的修改文件或撤消通知送达采购组织机构。</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（2）谈判修改文件必须密封，在密封袋上写明项目编号、标段、谈判项目名称、供应商名称、并注明“修改文件”、“谈判时启封”字样，其作为谈判响应文件的组成部份。</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三、谈判响应文件的有效期</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w:t>
      </w:r>
      <w:r>
        <w:rPr>
          <w:rFonts w:hint="eastAsia" w:ascii="宋体"/>
          <w:color w:val="000000" w:themeColor="text1"/>
          <w:kern w:val="0"/>
          <w:sz w:val="24"/>
          <w14:textFill>
            <w14:solidFill>
              <w14:schemeClr w14:val="tx1"/>
            </w14:solidFill>
          </w14:textFill>
        </w:rPr>
        <w:t>自谈判响应截止日起90天谈判响应文件应保持有效。有效期不足的谈判响应文件将被拒绝。</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w:t>
      </w:r>
      <w:r>
        <w:rPr>
          <w:rFonts w:ascii="宋体"/>
          <w:color w:val="000000" w:themeColor="text1"/>
          <w:kern w:val="0"/>
          <w:sz w:val="24"/>
          <w14:textFill>
            <w14:solidFill>
              <w14:schemeClr w14:val="tx1"/>
            </w14:solidFill>
          </w14:textFill>
        </w:rPr>
        <w:t>.</w:t>
      </w:r>
      <w:r>
        <w:rPr>
          <w:rFonts w:hint="eastAsia" w:ascii="宋体"/>
          <w:color w:val="000000" w:themeColor="text1"/>
          <w:kern w:val="0"/>
          <w:sz w:val="24"/>
          <w14:textFill>
            <w14:solidFill>
              <w14:schemeClr w14:val="tx1"/>
            </w14:solidFill>
          </w14:textFill>
        </w:rPr>
        <w:t>在特殊情况下，采购人可与供应商协商延长谈判响应文件的有效期，这种要求和答复均以书面形式进行。</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3.供应商可拒绝接受延期要求</w:t>
      </w:r>
      <w:r>
        <w:rPr>
          <w:rFonts w:ascii="宋体"/>
          <w:color w:val="000000" w:themeColor="text1"/>
          <w:kern w:val="0"/>
          <w:sz w:val="24"/>
          <w14:textFill>
            <w14:solidFill>
              <w14:schemeClr w14:val="tx1"/>
            </w14:solidFill>
          </w14:textFill>
        </w:rPr>
        <w:t>，但不能修改谈判响应文件。</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.成交供应商</w:t>
      </w:r>
      <w:r>
        <w:rPr>
          <w:rFonts w:ascii="宋体"/>
          <w:color w:val="000000" w:themeColor="text1"/>
          <w:kern w:val="0"/>
          <w:sz w:val="24"/>
          <w14:textFill>
            <w14:solidFill>
              <w14:schemeClr w14:val="tx1"/>
            </w14:solidFill>
          </w14:textFill>
        </w:rPr>
        <w:t>的</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文件自</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之日起至合同履行完毕均应保持有效。</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四、谈判</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 xml:space="preserve"> （一）谈判程序</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 采购组织机构工作人员应当核验出席谈判活动现场的各供应商代表及相关单位人员身份，并组织其分别登记、签到，无关人员可拒绝其进入现场。</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3.采购组织机构工作人员接收谈判响应文件并登记，并由供应商代表对递交记录情况进行签字确认。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5.对所递交投标文件邀请供应商代表查验谈判响应文件密封情况。</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6、主持人按供应商签到的先后顺序当场拆封谈判响应文件，并送至评审室。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7.谈判小组对符合资格的供应商的谈判响应文件进行符合性审查，以确定其是否满足谈判文件的实质性要求。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8.谈判小组对响应文件进行评审，并根据谈判文件规定的程序、评定成交的标准等事项与实质性响应谈判文件要求的供应商进行谈判。未实质性响应谈判文件的响应文件按无效处理。</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9.谈判小组所有成员集中与单一供应商分别进行谈判。所有参加谈判的供应商</w:t>
      </w:r>
      <w:r>
        <w:rPr>
          <w:rFonts w:hint="eastAsia" w:ascii="宋体"/>
          <w:kern w:val="0"/>
          <w:sz w:val="24"/>
        </w:rPr>
        <w:t>均有2轮谈判机会</w:t>
      </w:r>
      <w:r>
        <w:rPr>
          <w:rFonts w:hint="eastAsia" w:ascii="宋体"/>
          <w:color w:val="000000" w:themeColor="text1"/>
          <w:kern w:val="0"/>
          <w:sz w:val="24"/>
          <w14:textFill>
            <w14:solidFill>
              <w14:schemeClr w14:val="tx1"/>
            </w14:solidFill>
          </w14:textFill>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spacing w:line="360" w:lineRule="auto"/>
        <w:ind w:firstLine="480" w:firstLineChars="200"/>
        <w:rPr>
          <w:rFonts w:ascii="宋体"/>
          <w:b/>
          <w:bCs/>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11.谈判结束后，谈判小组将要求所有继续参加谈判的供应商</w:t>
      </w:r>
      <w:r>
        <w:rPr>
          <w:rFonts w:hint="eastAsia" w:ascii="宋体"/>
          <w:b/>
          <w:bCs/>
          <w:color w:val="000000" w:themeColor="text1"/>
          <w:kern w:val="0"/>
          <w:sz w:val="24"/>
          <w14:textFill>
            <w14:solidFill>
              <w14:schemeClr w14:val="tx1"/>
            </w14:solidFill>
          </w14:textFill>
        </w:rPr>
        <w:t>在规定时间内提交最后报价</w:t>
      </w:r>
      <w:r>
        <w:rPr>
          <w:rFonts w:hint="eastAsia" w:ascii="宋体"/>
          <w:color w:val="000000" w:themeColor="text1"/>
          <w:kern w:val="0"/>
          <w:sz w:val="24"/>
          <w14:textFill>
            <w14:solidFill>
              <w14:schemeClr w14:val="tx1"/>
            </w14:solidFill>
          </w14:textFill>
        </w:rPr>
        <w:t>，超过规定时间提交的报价作无效处理。</w:t>
      </w:r>
      <w:r>
        <w:rPr>
          <w:rFonts w:hint="eastAsia" w:ascii="宋体"/>
          <w:b/>
          <w:bCs/>
          <w:color w:val="000000" w:themeColor="text1"/>
          <w:kern w:val="0"/>
          <w:sz w:val="24"/>
          <w14:textFill>
            <w14:solidFill>
              <w14:schemeClr w14:val="tx1"/>
            </w14:solidFill>
          </w14:textFill>
        </w:rPr>
        <w:t>最终报价不能超过首次报价。</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12.谈判小组编写评审报告（评审报告应按相关规定及时向财政部门申请备案）。</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13.采购组织机构对谈判小组专家成员进行评价。</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14.宣布谈判结果，谈判采购会议结束。</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（二）澄清问题的形式</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谈判人的澄清、说明或者补正应当采用书面形式，并加盖公章，或者由法定代理人或其授权的代表签字，并不得超出谈判响应文件的范围或者改变谈判响应文件的实质性内容。</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（三）错误修正</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谈判响应文件报价出现前后不一致的，除谈判采购文件另有规定外，按照下列规定修正：</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1.谈判响应文件中首次报价一览表内容与谈判响应文件中相应内容不一致的，以首次报价一览表为准；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2.大写金额和小写金额不一致的，以大写金额为准；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3.单价金额小数点或者百分比有明显错位的，以首次报价一览表的总价为准，并修改单价；</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4.总价金额与按单价汇总金额不一致的，以单价金额计算结果为准。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spacing w:line="360" w:lineRule="auto"/>
        <w:ind w:firstLine="482" w:firstLineChars="200"/>
        <w:rPr>
          <w:rFonts w:asciiTheme="minorEastAsia" w:hAnsiTheme="minorEastAsia" w:eastAsiaTheme="minorEastAsia"/>
          <w:b/>
        </w:rPr>
      </w:pPr>
      <w:r>
        <w:rPr>
          <w:rFonts w:ascii="宋体"/>
          <w:b/>
          <w:color w:val="000000" w:themeColor="text1"/>
          <w:kern w:val="0"/>
          <w:sz w:val="24"/>
          <w14:textFill>
            <w14:solidFill>
              <w14:schemeClr w14:val="tx1"/>
            </w14:solidFill>
          </w14:textFill>
        </w:rPr>
        <w:t>（四）供应商存在下列情况之一的，响应无效，终止谈判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1.谈判响应文件中报价的货物跟商务与技术内容中的供应货物出现重大偏差的；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2.不具备谈判文件中规定的资格要求的。</w:t>
      </w:r>
      <w:r>
        <w:rPr>
          <w:rFonts w:ascii="宋体"/>
          <w:color w:val="000000" w:themeColor="text1"/>
          <w:kern w:val="0"/>
          <w:sz w:val="24"/>
          <w14:textFill>
            <w14:solidFill>
              <w14:schemeClr w14:val="tx1"/>
            </w14:solidFill>
          </w14:textFill>
        </w:rPr>
        <w:tab/>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3.谈判响应文件含有采购人不能接受的附加条件的。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.谈判代表人未能出具身份证明或与法定代表人授权委托人身份不符的；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 xml:space="preserve">6.报价超过谈判文件中规定的预算金额/最高限价。 </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7.主要性能参数指标负偏离项（含）以上的。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8</w:t>
      </w:r>
      <w:r>
        <w:rPr>
          <w:rFonts w:hint="eastAsia" w:ascii="宋体"/>
          <w:color w:val="000000" w:themeColor="text1"/>
          <w:kern w:val="0"/>
          <w:sz w:val="24"/>
          <w14:textFill>
            <w14:solidFill>
              <w14:schemeClr w14:val="tx1"/>
            </w14:solidFill>
          </w14:textFill>
        </w:rPr>
        <w:t>.谈判响应参数未如实填写，完全复制粘贴采购参数的。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9</w:t>
      </w:r>
      <w:r>
        <w:rPr>
          <w:rFonts w:hint="eastAsia" w:ascii="宋体"/>
          <w:color w:val="000000" w:themeColor="text1"/>
          <w:kern w:val="0"/>
          <w:sz w:val="24"/>
          <w14:textFill>
            <w14:solidFill>
              <w14:schemeClr w14:val="tx1"/>
            </w14:solidFill>
          </w14:textFill>
        </w:rPr>
        <w:t xml:space="preserve">.谈判响应文件提供虚假材料的。 </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0</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不同</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的</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文件由同一单位或者个人编制；</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11.不同供应商委托同一单位或者个人办理谈判事宜；</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12.不同供应商的谈判响应文件载明的项目管理成员或者联系人员为同一人；</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13.不同供应商的谈判响应文件异常一致或者报价呈规律性差异；</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14.不同供应商的谈判响应文件相互混装；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.不符合法律、法规和谈判文件中规定的其他实质性要求的（谈判采购文件中打“▲”内容及被拒绝的条款）。</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（五）有下列情况之一的，本次谈判终止</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1.出现影响采购公正的违法、违规行为的；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 xml:space="preserve">2.谈判小组发现谈判文件存在歧义、重大缺陷导致谈判工作无法进行，或者谈判文件内容违反国家有关强制性规定的； </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3.因重大变故，采购任务取消的；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4.法律、法规和谈判文件规定的其他导致谈判结果无效的。</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六</w:t>
      </w: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谈判</w:t>
      </w:r>
      <w:r>
        <w:rPr>
          <w:rFonts w:ascii="宋体"/>
          <w:b/>
          <w:color w:val="000000" w:themeColor="text1"/>
          <w:kern w:val="0"/>
          <w:sz w:val="24"/>
          <w14:textFill>
            <w14:solidFill>
              <w14:schemeClr w14:val="tx1"/>
            </w14:solidFill>
          </w14:textFill>
        </w:rPr>
        <w:t>原则和办法</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原则。</w:t>
      </w:r>
      <w:r>
        <w:rPr>
          <w:rFonts w:hint="eastAsia" w:ascii="宋体"/>
          <w:color w:val="000000" w:themeColor="text1"/>
          <w:kern w:val="0"/>
          <w:sz w:val="24"/>
          <w14:textFill>
            <w14:solidFill>
              <w14:schemeClr w14:val="tx1"/>
            </w14:solidFill>
          </w14:textFill>
        </w:rPr>
        <w:t>谈判小组</w:t>
      </w:r>
      <w:r>
        <w:rPr>
          <w:rFonts w:ascii="宋体"/>
          <w:color w:val="000000" w:themeColor="text1"/>
          <w:kern w:val="0"/>
          <w:sz w:val="24"/>
          <w14:textFill>
            <w14:solidFill>
              <w14:schemeClr w14:val="tx1"/>
            </w14:solidFill>
          </w14:textFill>
        </w:rPr>
        <w:t>必须公平、公正、客观，不带任何倾向性和启发性；不得向外界透露任何与</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有关的内容；任何单位和个人不得干扰、影响</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的正常进行；</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委员会及有关工作人员不得私下与</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接触。</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办法</w:t>
      </w:r>
      <w:r>
        <w:rPr>
          <w:rFonts w:hint="eastAsia" w:ascii="宋体"/>
          <w:color w:val="000000" w:themeColor="text1"/>
          <w:kern w:val="0"/>
          <w:sz w:val="24"/>
          <w14:textFill>
            <w14:solidFill>
              <w14:schemeClr w14:val="tx1"/>
            </w14:solidFill>
          </w14:textFill>
        </w:rPr>
        <w:t>：（1）谈判</w:t>
      </w:r>
      <w:r>
        <w:rPr>
          <w:rFonts w:ascii="宋体"/>
          <w:color w:val="000000" w:themeColor="text1"/>
          <w:kern w:val="0"/>
          <w:sz w:val="24"/>
          <w14:textFill>
            <w14:solidFill>
              <w14:schemeClr w14:val="tx1"/>
            </w14:solidFill>
          </w14:textFill>
        </w:rPr>
        <w:t>小组应当从质量和服务均能满足</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实质性响应要求的供应商中，按照报价由低到高的顺序确定成交候选人。（2）如遇相同最低报价，取交货期短者为成交单位；如两者均相同，则在相同最低报价中重新报价，直至产生最低报价者为成交单位。</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七</w:t>
      </w: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评审</w:t>
      </w:r>
      <w:r>
        <w:rPr>
          <w:rFonts w:ascii="宋体"/>
          <w:b/>
          <w:color w:val="000000" w:themeColor="text1"/>
          <w:kern w:val="0"/>
          <w:sz w:val="24"/>
          <w14:textFill>
            <w14:solidFill>
              <w14:schemeClr w14:val="tx1"/>
            </w14:solidFill>
          </w14:textFill>
        </w:rPr>
        <w:t>过程的监控</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w:t>
      </w:r>
      <w:r>
        <w:t>评审</w:t>
      </w:r>
      <w:r>
        <w:rPr>
          <w:rFonts w:asciiTheme="minorEastAsia" w:hAnsiTheme="minorEastAsia" w:eastAsiaTheme="minorEastAsia"/>
        </w:rPr>
        <w:t>过程实行全程录音、录像监控，政府采购监管部门视情进行现场监督，供应商在</w:t>
      </w:r>
      <w:r>
        <w:t>评审</w:t>
      </w:r>
      <w:r>
        <w:rPr>
          <w:rFonts w:asciiTheme="minorEastAsia" w:hAnsiTheme="minorEastAsia" w:eastAsiaTheme="minorEastAsia"/>
        </w:rPr>
        <w:t>过程中所进行的试图影响</w:t>
      </w:r>
      <w:r>
        <w:t>评审</w:t>
      </w:r>
      <w:r>
        <w:rPr>
          <w:rFonts w:asciiTheme="minorEastAsia" w:hAnsiTheme="minorEastAsia" w:eastAsiaTheme="minorEastAsia"/>
        </w:rPr>
        <w:t>结果的不公正活动，可能导致其谈判响应被拒绝。</w:t>
      </w:r>
    </w:p>
    <w:p>
      <w:pPr>
        <w:pStyle w:val="4"/>
        <w:spacing w:before="0" w:after="0" w:line="360" w:lineRule="auto"/>
        <w:rPr>
          <w:rFonts w:asciiTheme="minorEastAsia" w:hAnsiTheme="minorEastAsia" w:eastAsiaTheme="minorEastAsia"/>
          <w:sz w:val="28"/>
        </w:rPr>
      </w:pPr>
      <w:r>
        <w:rPr>
          <w:rFonts w:asciiTheme="minorEastAsia" w:hAnsiTheme="minorEastAsia" w:eastAsiaTheme="minorEastAsia"/>
          <w:sz w:val="28"/>
        </w:rPr>
        <w:t>五、谈判结果确定</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rFonts w:asciiTheme="minorEastAsia" w:hAnsiTheme="minorEastAsia" w:eastAsiaTheme="minorEastAsia"/>
        </w:rPr>
        <w:t>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rFonts w:asciiTheme="minorEastAsia" w:hAnsiTheme="minorEastAsia" w:eastAsiaTheme="minorEastAsia"/>
        </w:rPr>
        <w:t>发布成交结果公告。采购组织机构应当在成交供应商确定后2个工作日内，在省级以上财政部门指定的政府采购信息发布媒体及相关网站上公告成交结果，并将谈判文件随同公告。</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14:textFill>
            <w14:solidFill>
              <w14:schemeClr w14:val="tx1"/>
            </w14:solidFill>
          </w14:textFill>
        </w:rPr>
        <w:t>3</w:t>
      </w:r>
      <w:r>
        <w:rPr>
          <w:rFonts w:hAnsi="Times New Roman"/>
          <w:color w:val="000000" w:themeColor="text1"/>
          <w14:textFill>
            <w14:solidFill>
              <w14:schemeClr w14:val="tx1"/>
            </w14:solidFill>
          </w14:textFill>
        </w:rPr>
        <w:t>.</w:t>
      </w:r>
      <w:r>
        <w:rPr>
          <w:rFonts w:asciiTheme="minorEastAsia" w:hAnsiTheme="minorEastAsia" w:eastAsiaTheme="minorEastAsia"/>
        </w:rPr>
        <w:t>发出成交通知书。采购组织机构在发布成交结果同时，向成交供应商发出成交通知书。</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六、合同签订及公告</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（一）签订合同</w:t>
      </w:r>
    </w:p>
    <w:p>
      <w:pPr>
        <w:pStyle w:val="20"/>
        <w:spacing w:before="0" w:beforeAutospacing="0" w:after="0" w:afterAutospacing="0" w:line="360" w:lineRule="auto"/>
        <w:ind w:firstLine="480" w:firstLineChars="200"/>
        <w:jc w:val="both"/>
        <w:rPr>
          <w:rFonts w:hint="eastAsia"/>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采购人应当自成交通知书发出之日起</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个工作日内，按照谈判采购文件确定的合同文本以及采购标的、规格型号、采购金额、采购数量和服务要求等事项签订政府采购合同。</w:t>
      </w:r>
      <w:r>
        <w:rPr>
          <w:rFonts w:hint="eastAsia"/>
          <w:color w:val="000000" w:themeColor="text1"/>
          <w14:textFill>
            <w14:solidFill>
              <w14:schemeClr w14:val="tx1"/>
            </w14:solidFill>
          </w14:textFill>
        </w:rPr>
        <w:t>逾期甲方有权解除合同</w:t>
      </w:r>
      <w:r>
        <w:rPr>
          <w:rFonts w:hint="eastAsia"/>
          <w:color w:val="000000" w:themeColor="text1"/>
          <w:lang w:eastAsia="zh-CN"/>
          <w14:textFill>
            <w14:solidFill>
              <w14:schemeClr w14:val="tx1"/>
            </w14:solidFill>
          </w14:textFill>
        </w:rPr>
        <w:t>。</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成交供应商无故拖延、拒签合同的,将取消成交资格。</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询问或者质疑事项可能影响成交结果的，采购人应当暂停签订合同，已经签订合同的，应当中止履行合同（成交结果的质疑期为成交结果公告期限届满之日起七个工作日）。</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（二）合同公告及备案</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采购人应当自政府采购合同签订之日起2个工作日内，在省级以上财政部门指定的政府采购信息发布媒体及相关网站上公告。</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采购人应当自政府采购合同签订之日起7个工作日内，将政府采购合同副本报同级人民政府财政部门备案以及采购组织机构存档。</w:t>
      </w:r>
    </w:p>
    <w:p>
      <w:pPr>
        <w:snapToGrid w:val="0"/>
        <w:spacing w:beforeLines="50" w:afterLines="50" w:line="360" w:lineRule="auto"/>
        <w:jc w:val="center"/>
        <w:rPr>
          <w:rFonts w:asciiTheme="majorEastAsia" w:hAnsiTheme="majorEastAsia" w:eastAsiaTheme="majorEastAsia"/>
          <w:b/>
          <w:bCs/>
          <w:color w:val="000000" w:themeColor="text1"/>
          <w:sz w:val="36"/>
          <w:szCs w:val="36"/>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br w:type="page"/>
      </w:r>
    </w:p>
    <w:p>
      <w:pPr>
        <w:jc w:val="center"/>
        <w:outlineLvl w:val="0"/>
        <w:rPr>
          <w:rFonts w:ascii="宋体" w:hAnsi="宋体"/>
          <w:b/>
          <w:color w:val="000000"/>
          <w:kern w:val="0"/>
          <w:sz w:val="30"/>
          <w:szCs w:val="30"/>
        </w:rPr>
      </w:pPr>
      <w:r>
        <w:rPr>
          <w:rFonts w:hint="eastAsia" w:ascii="宋体" w:hAnsi="宋体"/>
          <w:b/>
          <w:color w:val="000000"/>
          <w:kern w:val="0"/>
          <w:sz w:val="30"/>
          <w:szCs w:val="30"/>
        </w:rPr>
        <w:t>第二部份  采 购 需 求</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kern w:val="2"/>
          <w:sz w:val="30"/>
          <w:szCs w:val="32"/>
          <w:lang w:val="en-US" w:eastAsia="zh-CN" w:bidi="ar-SA"/>
        </w:rPr>
      </w:pPr>
      <w:r>
        <w:rPr>
          <w:rFonts w:hint="eastAsia" w:ascii="Times New Roman" w:hAnsi="Times New Roman" w:eastAsia="宋体" w:cs="Times New Roman"/>
          <w:b/>
          <w:bCs/>
          <w:kern w:val="2"/>
          <w:sz w:val="30"/>
          <w:szCs w:val="32"/>
          <w:lang w:val="en-US" w:eastAsia="zh-CN" w:bidi="ar-SA"/>
        </w:rPr>
        <w:t>1</w:t>
      </w:r>
      <w:r>
        <w:rPr>
          <w:rFonts w:hint="eastAsia" w:cs="Times New Roman"/>
          <w:b/>
          <w:bCs/>
          <w:kern w:val="2"/>
          <w:sz w:val="30"/>
          <w:szCs w:val="32"/>
          <w:lang w:val="en-US" w:eastAsia="zh-CN" w:bidi="ar-SA"/>
        </w:rPr>
        <w:t>.</w:t>
      </w:r>
      <w:r>
        <w:rPr>
          <w:rFonts w:hint="eastAsia" w:ascii="Times New Roman" w:hAnsi="Times New Roman" w:eastAsia="宋体" w:cs="Times New Roman"/>
          <w:b/>
          <w:bCs/>
          <w:kern w:val="2"/>
          <w:sz w:val="30"/>
          <w:szCs w:val="32"/>
          <w:lang w:val="en-US" w:eastAsia="zh-CN" w:bidi="ar-SA"/>
        </w:rPr>
        <w:t>1工程概况</w:t>
      </w:r>
    </w:p>
    <w:p>
      <w:pPr>
        <w:pStyle w:val="59"/>
        <w:ind w:firstLine="56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下叶水库位于三门县健跳镇田里村，北距健跳镇10.2km（直线距离7.2km），东距浬浦镇10.0km（直线距离4.8km），属健跳港河系。从74省道石桥村位置沿东郭公路往西北约2.4km可直达水库大坝右坝头，交通较为便捷。水库集水面积2.33km2，总库容156.76万m3，正常库容125.40万m3，正常蓄水位24.50m。工程于1958年11月开工建设，于 1980年3月竣工，是一座以农业灌溉为主的小（1）型水库。</w:t>
      </w:r>
    </w:p>
    <w:p>
      <w:pPr>
        <w:pStyle w:val="59"/>
        <w:ind w:firstLine="560"/>
      </w:pPr>
      <w:r>
        <w:rPr>
          <w:rFonts w:hint="eastAsia" w:ascii="Times New Roman" w:hAnsi="Times New Roman" w:eastAsia="宋体" w:cs="Times New Roman"/>
          <w:kern w:val="2"/>
          <w:sz w:val="24"/>
          <w:szCs w:val="22"/>
          <w:lang w:val="en-US" w:eastAsia="zh-CN" w:bidi="ar-SA"/>
        </w:rPr>
        <w:t>水库灌溉面积3800亩，其中自流灌溉2800亩，机电提水灌溉1000亩。</w:t>
      </w:r>
    </w:p>
    <w:p>
      <w:pPr>
        <w:keepNext/>
        <w:keepLines/>
        <w:numPr>
          <w:ilvl w:val="0"/>
          <w:numId w:val="0"/>
        </w:numPr>
        <w:spacing w:before="156" w:beforeLines="50" w:line="360" w:lineRule="auto"/>
        <w:ind w:leftChars="0"/>
        <w:outlineLvl w:val="1"/>
        <w:rPr>
          <w:b/>
          <w:bCs/>
          <w:sz w:val="30"/>
          <w:szCs w:val="32"/>
        </w:rPr>
      </w:pPr>
      <w:r>
        <w:rPr>
          <w:rFonts w:hint="eastAsia"/>
          <w:b/>
          <w:bCs/>
          <w:sz w:val="30"/>
          <w:szCs w:val="32"/>
          <w:lang w:val="en-US" w:eastAsia="zh-CN"/>
        </w:rPr>
        <w:t>1.2</w:t>
      </w:r>
      <w:r>
        <w:rPr>
          <w:rFonts w:hint="eastAsia"/>
          <w:b/>
          <w:bCs/>
          <w:sz w:val="30"/>
          <w:szCs w:val="32"/>
        </w:rPr>
        <w:t>鉴定依据</w:t>
      </w:r>
    </w:p>
    <w:p>
      <w:pPr>
        <w:spacing w:after="0" w:line="360" w:lineRule="auto"/>
        <w:ind w:firstLine="480" w:firstLineChars="200"/>
        <w:rPr>
          <w:sz w:val="24"/>
          <w:szCs w:val="22"/>
        </w:rPr>
      </w:pPr>
      <w:r>
        <w:rPr>
          <w:rFonts w:hint="eastAsia"/>
          <w:sz w:val="24"/>
          <w:szCs w:val="22"/>
        </w:rPr>
        <w:t>本次安全鉴定工作依据的技术标准主要包括：</w:t>
      </w:r>
    </w:p>
    <w:p>
      <w:pPr>
        <w:numPr>
          <w:ilvl w:val="0"/>
          <w:numId w:val="3"/>
        </w:numPr>
        <w:spacing w:after="0" w:line="360" w:lineRule="auto"/>
        <w:ind w:left="0" w:firstLine="480" w:firstLineChars="200"/>
        <w:rPr>
          <w:sz w:val="24"/>
          <w:szCs w:val="22"/>
        </w:rPr>
      </w:pPr>
      <w:r>
        <w:rPr>
          <w:rFonts w:hint="eastAsia"/>
          <w:sz w:val="24"/>
          <w:szCs w:val="22"/>
        </w:rPr>
        <w:t>《水库大坝安全管理条例》（国务院〔</w:t>
      </w:r>
      <w:r>
        <w:rPr>
          <w:sz w:val="24"/>
          <w:szCs w:val="22"/>
        </w:rPr>
        <w:t>1991</w:t>
      </w:r>
      <w:r>
        <w:rPr>
          <w:rFonts w:hint="eastAsia"/>
          <w:sz w:val="24"/>
          <w:szCs w:val="22"/>
        </w:rPr>
        <w:t>〕第</w:t>
      </w:r>
      <w:r>
        <w:rPr>
          <w:sz w:val="24"/>
          <w:szCs w:val="22"/>
        </w:rPr>
        <w:t>77</w:t>
      </w:r>
      <w:r>
        <w:rPr>
          <w:rFonts w:hint="eastAsia"/>
          <w:sz w:val="24"/>
          <w:szCs w:val="22"/>
        </w:rPr>
        <w:t>号令，</w:t>
      </w:r>
      <w:r>
        <w:rPr>
          <w:sz w:val="24"/>
          <w:szCs w:val="22"/>
        </w:rPr>
        <w:t>2011</w:t>
      </w:r>
      <w:r>
        <w:rPr>
          <w:rFonts w:hint="eastAsia"/>
          <w:sz w:val="24"/>
          <w:szCs w:val="22"/>
        </w:rPr>
        <w:t>年修正）；</w:t>
      </w:r>
    </w:p>
    <w:p>
      <w:pPr>
        <w:numPr>
          <w:ilvl w:val="0"/>
          <w:numId w:val="3"/>
        </w:numPr>
        <w:spacing w:after="0" w:line="360" w:lineRule="auto"/>
        <w:ind w:left="0" w:firstLine="480" w:firstLineChars="200"/>
        <w:rPr>
          <w:sz w:val="24"/>
          <w:szCs w:val="22"/>
        </w:rPr>
      </w:pPr>
      <w:r>
        <w:rPr>
          <w:rFonts w:hint="eastAsia"/>
          <w:sz w:val="24"/>
          <w:szCs w:val="22"/>
        </w:rPr>
        <w:t>《浙江省水利工程安全管理条例》（省</w:t>
      </w:r>
      <w:r>
        <w:rPr>
          <w:sz w:val="24"/>
          <w:szCs w:val="22"/>
        </w:rPr>
        <w:t>人大常委会</w:t>
      </w:r>
      <w:r>
        <w:rPr>
          <w:rFonts w:hint="eastAsia"/>
          <w:sz w:val="24"/>
          <w:szCs w:val="22"/>
        </w:rPr>
        <w:t>〔</w:t>
      </w:r>
      <w:r>
        <w:rPr>
          <w:sz w:val="24"/>
          <w:szCs w:val="22"/>
        </w:rPr>
        <w:t>2008</w:t>
      </w:r>
      <w:r>
        <w:rPr>
          <w:rFonts w:hint="eastAsia"/>
          <w:sz w:val="24"/>
          <w:szCs w:val="22"/>
        </w:rPr>
        <w:t>〕第7号，2014年</w:t>
      </w:r>
      <w:r>
        <w:rPr>
          <w:sz w:val="24"/>
          <w:szCs w:val="22"/>
        </w:rPr>
        <w:t>修正</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《水库大坝安全鉴定办法》（水建管〔</w:t>
      </w:r>
      <w:r>
        <w:rPr>
          <w:sz w:val="24"/>
          <w:szCs w:val="22"/>
        </w:rPr>
        <w:t>2003</w:t>
      </w:r>
      <w:r>
        <w:rPr>
          <w:rFonts w:hint="eastAsia"/>
          <w:sz w:val="24"/>
          <w:szCs w:val="22"/>
        </w:rPr>
        <w:t>〕</w:t>
      </w:r>
      <w:r>
        <w:rPr>
          <w:sz w:val="24"/>
          <w:szCs w:val="22"/>
        </w:rPr>
        <w:t>271</w:t>
      </w:r>
      <w:r>
        <w:rPr>
          <w:rFonts w:hint="eastAsia"/>
          <w:sz w:val="24"/>
          <w:szCs w:val="22"/>
        </w:rPr>
        <w:t>号）；</w:t>
      </w:r>
    </w:p>
    <w:p>
      <w:pPr>
        <w:numPr>
          <w:ilvl w:val="0"/>
          <w:numId w:val="3"/>
        </w:numPr>
        <w:spacing w:after="0" w:line="360" w:lineRule="auto"/>
        <w:ind w:left="0" w:firstLine="480" w:firstLineChars="200"/>
        <w:rPr>
          <w:sz w:val="24"/>
          <w:szCs w:val="22"/>
        </w:rPr>
      </w:pPr>
      <w:r>
        <w:rPr>
          <w:rFonts w:hint="eastAsia"/>
          <w:sz w:val="24"/>
          <w:szCs w:val="22"/>
        </w:rPr>
        <w:t>《水库大坝安全评价导则》（</w:t>
      </w:r>
      <w:r>
        <w:rPr>
          <w:sz w:val="24"/>
          <w:szCs w:val="22"/>
        </w:rPr>
        <w:t>SL258-2017</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《浙江省小型水库大坝安全技术认定导则》；</w:t>
      </w:r>
    </w:p>
    <w:p>
      <w:pPr>
        <w:numPr>
          <w:ilvl w:val="0"/>
          <w:numId w:val="3"/>
        </w:numPr>
        <w:spacing w:after="0" w:line="360" w:lineRule="auto"/>
        <w:ind w:left="0" w:firstLine="480" w:firstLineChars="200"/>
        <w:rPr>
          <w:sz w:val="24"/>
          <w:szCs w:val="22"/>
        </w:rPr>
      </w:pPr>
      <w:r>
        <w:rPr>
          <w:rFonts w:hint="eastAsia"/>
          <w:sz w:val="24"/>
          <w:szCs w:val="22"/>
        </w:rPr>
        <w:t>《防洪标准》（</w:t>
      </w:r>
      <w:r>
        <w:rPr>
          <w:sz w:val="24"/>
          <w:szCs w:val="22"/>
        </w:rPr>
        <w:t>GB50201-2014</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《水利水电工程等级划分及洪水标准》（</w:t>
      </w:r>
      <w:r>
        <w:rPr>
          <w:sz w:val="24"/>
          <w:szCs w:val="22"/>
        </w:rPr>
        <w:t>SL252-2017</w:t>
      </w:r>
      <w:r>
        <w:rPr>
          <w:rFonts w:hint="eastAsia"/>
          <w:sz w:val="24"/>
          <w:szCs w:val="22"/>
        </w:rPr>
        <w:t>）；</w:t>
      </w:r>
    </w:p>
    <w:p>
      <w:pPr>
        <w:numPr>
          <w:ilvl w:val="0"/>
          <w:numId w:val="3"/>
        </w:numPr>
        <w:spacing w:after="0" w:line="360" w:lineRule="auto"/>
        <w:ind w:left="0" w:firstLine="480" w:firstLineChars="200"/>
        <w:rPr>
          <w:sz w:val="24"/>
          <w:szCs w:val="22"/>
        </w:rPr>
      </w:pPr>
      <w:r>
        <w:rPr>
          <w:sz w:val="24"/>
          <w:szCs w:val="22"/>
        </w:rPr>
        <w:t>《碾压式土石坝设计规范》</w:t>
      </w:r>
      <w:r>
        <w:rPr>
          <w:rFonts w:hint="eastAsia"/>
          <w:sz w:val="24"/>
          <w:szCs w:val="22"/>
        </w:rPr>
        <w:t>（</w:t>
      </w:r>
      <w:r>
        <w:rPr>
          <w:sz w:val="24"/>
          <w:szCs w:val="22"/>
        </w:rPr>
        <w:t>SL274-2021</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《水利水电工程设计洪水计算规范》（</w:t>
      </w:r>
      <w:r>
        <w:rPr>
          <w:sz w:val="24"/>
          <w:szCs w:val="22"/>
        </w:rPr>
        <w:t>SL44-2014</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《水工钢闸门和启闭机安全运行规程》（</w:t>
      </w:r>
      <w:r>
        <w:rPr>
          <w:sz w:val="24"/>
          <w:szCs w:val="22"/>
        </w:rPr>
        <w:t>SL 722-2015</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《土工试验规程》（</w:t>
      </w:r>
      <w:r>
        <w:rPr>
          <w:sz w:val="24"/>
          <w:szCs w:val="22"/>
        </w:rPr>
        <w:t>SL237-1999</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《土石坝养护修理规程》（SL 210-2015）；</w:t>
      </w:r>
    </w:p>
    <w:p>
      <w:pPr>
        <w:numPr>
          <w:ilvl w:val="0"/>
          <w:numId w:val="3"/>
        </w:numPr>
        <w:spacing w:after="0" w:line="360" w:lineRule="auto"/>
        <w:ind w:left="0" w:firstLine="480" w:firstLineChars="200"/>
        <w:rPr>
          <w:sz w:val="24"/>
          <w:szCs w:val="22"/>
        </w:rPr>
      </w:pPr>
      <w:r>
        <w:rPr>
          <w:rFonts w:hint="eastAsia"/>
          <w:sz w:val="24"/>
          <w:szCs w:val="22"/>
        </w:rPr>
        <w:t>《水利水电工程地质勘察规范》（GB50487-2008）；</w:t>
      </w:r>
    </w:p>
    <w:p>
      <w:pPr>
        <w:numPr>
          <w:ilvl w:val="0"/>
          <w:numId w:val="3"/>
        </w:numPr>
        <w:spacing w:after="0" w:line="360" w:lineRule="auto"/>
        <w:ind w:left="0" w:firstLine="480" w:firstLineChars="200"/>
        <w:rPr>
          <w:sz w:val="24"/>
          <w:szCs w:val="22"/>
        </w:rPr>
      </w:pPr>
      <w:r>
        <w:rPr>
          <w:rFonts w:hint="eastAsia"/>
          <w:sz w:val="24"/>
          <w:szCs w:val="22"/>
        </w:rPr>
        <w:t>《中小型水利水电工程地质勘察规范》（SL</w:t>
      </w:r>
      <w:r>
        <w:rPr>
          <w:sz w:val="24"/>
          <w:szCs w:val="22"/>
        </w:rPr>
        <w:t>55</w:t>
      </w:r>
      <w:r>
        <w:rPr>
          <w:rFonts w:hint="eastAsia"/>
          <w:sz w:val="24"/>
          <w:szCs w:val="22"/>
        </w:rPr>
        <w:t>-20</w:t>
      </w:r>
      <w:r>
        <w:rPr>
          <w:sz w:val="24"/>
          <w:szCs w:val="22"/>
        </w:rPr>
        <w:t>05</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《土工试验方法标准》（GB/T50123-</w:t>
      </w:r>
      <w:r>
        <w:rPr>
          <w:sz w:val="24"/>
          <w:szCs w:val="22"/>
        </w:rPr>
        <w:t>201</w:t>
      </w:r>
      <w:r>
        <w:rPr>
          <w:rFonts w:hint="eastAsia"/>
          <w:sz w:val="24"/>
          <w:szCs w:val="22"/>
        </w:rPr>
        <w:t>9）；</w:t>
      </w:r>
    </w:p>
    <w:p>
      <w:pPr>
        <w:numPr>
          <w:ilvl w:val="0"/>
          <w:numId w:val="3"/>
        </w:numPr>
        <w:spacing w:after="0" w:line="360" w:lineRule="auto"/>
        <w:ind w:left="0" w:firstLine="480" w:firstLineChars="200"/>
        <w:rPr>
          <w:sz w:val="24"/>
          <w:szCs w:val="22"/>
        </w:rPr>
      </w:pPr>
      <w:r>
        <w:rPr>
          <w:rFonts w:hint="eastAsia"/>
          <w:sz w:val="24"/>
          <w:szCs w:val="22"/>
        </w:rPr>
        <w:t>以及国家、水利部、浙江省发布的其他相关技术规范、规程。</w:t>
      </w:r>
    </w:p>
    <w:p>
      <w:pPr>
        <w:keepNext/>
        <w:keepLines/>
        <w:numPr>
          <w:ilvl w:val="1"/>
          <w:numId w:val="4"/>
        </w:numPr>
        <w:spacing w:before="156" w:beforeLines="50" w:line="360" w:lineRule="auto"/>
        <w:jc w:val="left"/>
        <w:outlineLvl w:val="0"/>
        <w:rPr>
          <w:b/>
          <w:bCs/>
          <w:kern w:val="44"/>
          <w:sz w:val="32"/>
          <w:szCs w:val="44"/>
        </w:rPr>
      </w:pPr>
      <w:r>
        <w:rPr>
          <w:rFonts w:hint="eastAsia"/>
          <w:b/>
          <w:bCs/>
          <w:kern w:val="44"/>
          <w:sz w:val="32"/>
          <w:szCs w:val="44"/>
        </w:rPr>
        <w:t>安全技术认定内容</w:t>
      </w:r>
    </w:p>
    <w:p>
      <w:pPr>
        <w:keepNext/>
        <w:keepLines/>
        <w:numPr>
          <w:ilvl w:val="2"/>
          <w:numId w:val="4"/>
        </w:numPr>
        <w:spacing w:before="156" w:beforeLines="50" w:line="360" w:lineRule="auto"/>
        <w:outlineLvl w:val="1"/>
        <w:rPr>
          <w:b/>
          <w:bCs/>
          <w:sz w:val="30"/>
          <w:szCs w:val="32"/>
        </w:rPr>
      </w:pPr>
      <w:r>
        <w:rPr>
          <w:rFonts w:hint="eastAsia"/>
          <w:b/>
          <w:bCs/>
          <w:sz w:val="30"/>
          <w:szCs w:val="32"/>
        </w:rPr>
        <w:t>现场安全检查</w:t>
      </w:r>
    </w:p>
    <w:p>
      <w:pPr>
        <w:spacing w:after="0" w:line="360" w:lineRule="auto"/>
        <w:ind w:firstLine="480" w:firstLineChars="200"/>
        <w:rPr>
          <w:sz w:val="24"/>
          <w:szCs w:val="22"/>
        </w:rPr>
      </w:pPr>
      <w:r>
        <w:rPr>
          <w:rFonts w:hint="eastAsia"/>
          <w:sz w:val="24"/>
          <w:szCs w:val="22"/>
        </w:rPr>
        <w:t>现场安全检查内容包括查阅工程勘测、设计、施工与运行资料，对大坝外观状况、结构安全情况、运行管理条件等进行全面检查和评估，对大坝存在的主要问题进行系统排查，明确指出影响大坝安全的重点部位和薄弱环节，并有针对性地提出大坝安全评价重点和建议。</w:t>
      </w:r>
    </w:p>
    <w:p>
      <w:pPr>
        <w:spacing w:after="0" w:line="360" w:lineRule="auto"/>
        <w:ind w:firstLine="480" w:firstLineChars="200"/>
        <w:rPr>
          <w:sz w:val="24"/>
          <w:szCs w:val="22"/>
        </w:rPr>
      </w:pPr>
      <w:r>
        <w:rPr>
          <w:rFonts w:hint="eastAsia"/>
          <w:sz w:val="24"/>
          <w:szCs w:val="22"/>
        </w:rPr>
        <w:t>现场安全检查主要对象是与大坝安全有关的挡水建筑物、近坝库岸和地基，引、泄、输水建筑物及其地基、边坡，安全监测设施及管理设施等，主要内容是涉及渗流稳定和影响结构安全的项目。</w:t>
      </w:r>
    </w:p>
    <w:p>
      <w:pPr>
        <w:spacing w:after="0" w:line="360" w:lineRule="auto"/>
        <w:ind w:firstLine="480" w:firstLineChars="200"/>
        <w:rPr>
          <w:sz w:val="24"/>
          <w:szCs w:val="22"/>
        </w:rPr>
      </w:pPr>
      <w:r>
        <w:rPr>
          <w:rFonts w:hint="eastAsia"/>
          <w:sz w:val="24"/>
          <w:szCs w:val="22"/>
        </w:rPr>
        <w:t>现场检查应尽量安排在对运行影响较小、大多数受检结构部位易于观察和可以进行试验的时段。对现场检查中发现的结构构件或有防渗要求的结构出现破坏结构整体性或影响工程安全运用的裂缝等异常现象时，应检测裂缝等分布、宽度、长度和深度，分析裂缝等异常现象产生原因。</w:t>
      </w:r>
    </w:p>
    <w:p>
      <w:pPr>
        <w:spacing w:after="0" w:line="360" w:lineRule="auto"/>
        <w:ind w:firstLine="480" w:firstLineChars="200"/>
        <w:rPr>
          <w:sz w:val="24"/>
          <w:szCs w:val="22"/>
        </w:rPr>
      </w:pPr>
      <w:r>
        <w:rPr>
          <w:rFonts w:hint="eastAsia"/>
          <w:sz w:val="24"/>
          <w:szCs w:val="22"/>
        </w:rPr>
        <w:t>土石坝安全检查可按《土石坝安全监测技术规范》（SL551）参照执行</w:t>
      </w:r>
    </w:p>
    <w:p>
      <w:pPr>
        <w:spacing w:after="0" w:line="360" w:lineRule="auto"/>
        <w:ind w:firstLine="480" w:firstLineChars="200"/>
        <w:rPr>
          <w:sz w:val="24"/>
          <w:szCs w:val="22"/>
        </w:rPr>
      </w:pPr>
      <w:r>
        <w:rPr>
          <w:rFonts w:hint="eastAsia"/>
          <w:sz w:val="24"/>
          <w:szCs w:val="22"/>
        </w:rPr>
        <w:t>现场安全检查同时应检查工程管理、保护范围内有无禁止性行为或现象，泄洪渠能否安全泄洪，工程信息化管理等情况。对有白蚁危害地区，应加强白蚁检查，并进行相应评价分析。</w:t>
      </w:r>
    </w:p>
    <w:p>
      <w:pPr>
        <w:spacing w:after="0" w:line="360" w:lineRule="auto"/>
        <w:ind w:firstLine="480" w:firstLineChars="200"/>
        <w:rPr>
          <w:sz w:val="24"/>
          <w:szCs w:val="22"/>
        </w:rPr>
      </w:pPr>
      <w:r>
        <w:rPr>
          <w:rFonts w:hint="eastAsia"/>
          <w:sz w:val="24"/>
          <w:szCs w:val="22"/>
        </w:rPr>
        <w:t>现场安全检查报告由安全技术认定项目承担单位编写，并与历次检查结果作对比分析。</w:t>
      </w:r>
    </w:p>
    <w:p>
      <w:pPr>
        <w:keepNext/>
        <w:keepLines/>
        <w:numPr>
          <w:ilvl w:val="2"/>
          <w:numId w:val="4"/>
        </w:numPr>
        <w:spacing w:before="156" w:beforeLines="50" w:line="360" w:lineRule="auto"/>
        <w:outlineLvl w:val="1"/>
        <w:rPr>
          <w:b/>
          <w:bCs/>
          <w:sz w:val="30"/>
          <w:szCs w:val="32"/>
        </w:rPr>
      </w:pPr>
      <w:r>
        <w:rPr>
          <w:rFonts w:hint="eastAsia"/>
          <w:b/>
          <w:bCs/>
          <w:sz w:val="30"/>
          <w:szCs w:val="32"/>
        </w:rPr>
        <w:t>运行管理评价</w:t>
      </w:r>
    </w:p>
    <w:p>
      <w:pPr>
        <w:spacing w:after="0" w:line="360" w:lineRule="auto"/>
        <w:ind w:firstLine="480" w:firstLineChars="200"/>
        <w:rPr>
          <w:sz w:val="24"/>
          <w:szCs w:val="22"/>
        </w:rPr>
      </w:pPr>
      <w:r>
        <w:rPr>
          <w:rFonts w:hint="eastAsia"/>
          <w:sz w:val="24"/>
          <w:szCs w:val="22"/>
        </w:rPr>
        <w:t>大坝运行管理综合评价应包括水库管理机构是否健全、管理人员职责是否明晰；各项规章、制度及调度计划、应急预案是否齐全落实；水库管理是否规范，能否按审批的调度规程（或计划）合理调度运用；水库效益能否正常发挥；大坝安全监测、防汛交通与通信等管理设施是否完善，监测设施是否按规范规定设置和观测，监测资料整编分析情况；大坝是否得到及时完好的维修养护。</w:t>
      </w:r>
    </w:p>
    <w:p>
      <w:pPr>
        <w:spacing w:after="0" w:line="360" w:lineRule="auto"/>
        <w:ind w:firstLine="480" w:firstLineChars="200"/>
        <w:rPr>
          <w:sz w:val="24"/>
          <w:szCs w:val="22"/>
        </w:rPr>
      </w:pPr>
      <w:r>
        <w:rPr>
          <w:rFonts w:hint="eastAsia"/>
          <w:sz w:val="24"/>
          <w:szCs w:val="22"/>
        </w:rPr>
        <w:t>运行管理评价结论：上述工程运行管理各项做得好的，并按设计条件和功能安全运行的，评为“好”。上述工程运行管理大部分做得好的，工程基本能按设计条件和功能安全运行的，评为“较好”；工程运行管理大部分未做到的，工程不能按设计条件和功能安全运行的，评为“差”。</w:t>
      </w:r>
    </w:p>
    <w:p>
      <w:pPr>
        <w:keepNext/>
        <w:keepLines/>
        <w:numPr>
          <w:ilvl w:val="2"/>
          <w:numId w:val="4"/>
        </w:numPr>
        <w:spacing w:before="156" w:beforeLines="50" w:line="360" w:lineRule="auto"/>
        <w:outlineLvl w:val="1"/>
        <w:rPr>
          <w:b/>
          <w:bCs/>
          <w:sz w:val="30"/>
          <w:szCs w:val="32"/>
        </w:rPr>
      </w:pPr>
      <w:r>
        <w:rPr>
          <w:rFonts w:hint="eastAsia"/>
          <w:b/>
          <w:bCs/>
          <w:sz w:val="30"/>
          <w:szCs w:val="32"/>
        </w:rPr>
        <w:t>防洪安全评价</w:t>
      </w:r>
    </w:p>
    <w:p>
      <w:pPr>
        <w:spacing w:after="0" w:line="360" w:lineRule="auto"/>
        <w:ind w:firstLine="480" w:firstLineChars="200"/>
        <w:rPr>
          <w:sz w:val="24"/>
          <w:szCs w:val="22"/>
        </w:rPr>
      </w:pPr>
      <w:r>
        <w:rPr>
          <w:rFonts w:hint="eastAsia"/>
          <w:sz w:val="24"/>
          <w:szCs w:val="22"/>
        </w:rPr>
        <w:t>防洪安全评价主要包括设计洪水复核和调洪计算，评价大坝工程现状的防洪能力是否满足现行规范的要求。</w:t>
      </w:r>
    </w:p>
    <w:p>
      <w:pPr>
        <w:spacing w:after="0" w:line="360" w:lineRule="auto"/>
        <w:ind w:firstLine="480" w:firstLineChars="200"/>
        <w:rPr>
          <w:sz w:val="24"/>
          <w:szCs w:val="22"/>
        </w:rPr>
      </w:pPr>
      <w:r>
        <w:rPr>
          <w:rFonts w:hint="eastAsia"/>
          <w:sz w:val="24"/>
          <w:szCs w:val="22"/>
        </w:rPr>
        <w:t>根据规范中的有关大坝安全的规定和工程质量评价结果，复核并确定水库安全度汛的设计和校核水位及其相应的最大下泄流量。据此确定的设计和校核洪水位所相应的设计洪水频率和校核洪水频率，即为水库大坝现状的抗洪能力。</w:t>
      </w:r>
    </w:p>
    <w:p>
      <w:pPr>
        <w:spacing w:after="0" w:line="360" w:lineRule="auto"/>
        <w:ind w:firstLine="480" w:firstLineChars="200"/>
        <w:rPr>
          <w:sz w:val="24"/>
          <w:szCs w:val="22"/>
        </w:rPr>
      </w:pPr>
      <w:r>
        <w:rPr>
          <w:rFonts w:hint="eastAsia"/>
          <w:sz w:val="24"/>
          <w:szCs w:val="22"/>
        </w:rPr>
        <w:t>复核坝顶超高（含防渗体顶高程）是否满足相应规范的要求。</w:t>
      </w:r>
    </w:p>
    <w:p>
      <w:pPr>
        <w:spacing w:after="0" w:line="360" w:lineRule="auto"/>
        <w:ind w:firstLine="480" w:firstLineChars="200"/>
        <w:rPr>
          <w:sz w:val="24"/>
          <w:szCs w:val="22"/>
        </w:rPr>
      </w:pPr>
      <w:r>
        <w:rPr>
          <w:rFonts w:hint="eastAsia"/>
          <w:sz w:val="24"/>
          <w:szCs w:val="22"/>
        </w:rPr>
        <w:t>防洪标准复核计算的结果，应根据水库规模及所处地形特征（山区、丘陵区或平原、滨海区）足《防洪标准》（</w:t>
      </w:r>
      <w:r>
        <w:rPr>
          <w:sz w:val="24"/>
          <w:szCs w:val="22"/>
        </w:rPr>
        <w:t>GB50201</w:t>
      </w:r>
      <w:r>
        <w:rPr>
          <w:rFonts w:hint="eastAsia"/>
          <w:sz w:val="24"/>
          <w:szCs w:val="22"/>
        </w:rPr>
        <w:t>）的规定。</w:t>
      </w:r>
    </w:p>
    <w:p>
      <w:pPr>
        <w:spacing w:after="0" w:line="360" w:lineRule="auto"/>
        <w:ind w:firstLine="480" w:firstLineChars="200"/>
        <w:rPr>
          <w:sz w:val="24"/>
          <w:szCs w:val="22"/>
        </w:rPr>
      </w:pPr>
      <w:r>
        <w:rPr>
          <w:rFonts w:hint="eastAsia"/>
          <w:sz w:val="24"/>
          <w:szCs w:val="22"/>
        </w:rPr>
        <w:t>水库工程的等级及大坝级别应符合标准《防洪标准》（</w:t>
      </w:r>
      <w:r>
        <w:rPr>
          <w:sz w:val="24"/>
          <w:szCs w:val="22"/>
        </w:rPr>
        <w:t>GB50201</w:t>
      </w:r>
      <w:r>
        <w:rPr>
          <w:rFonts w:hint="eastAsia"/>
          <w:sz w:val="24"/>
          <w:szCs w:val="22"/>
        </w:rPr>
        <w:t>）中水利水电枢纽工程等别及水工建筑物的级别的规定。</w:t>
      </w:r>
    </w:p>
    <w:p>
      <w:pPr>
        <w:spacing w:after="0" w:line="360" w:lineRule="auto"/>
        <w:ind w:firstLine="480" w:firstLineChars="200"/>
        <w:rPr>
          <w:sz w:val="24"/>
          <w:szCs w:val="22"/>
        </w:rPr>
      </w:pPr>
      <w:r>
        <w:rPr>
          <w:rFonts w:hint="eastAsia"/>
          <w:sz w:val="24"/>
          <w:szCs w:val="22"/>
        </w:rPr>
        <w:t>水库大坝现状的抗洪能力应满足《防洪标准》（</w:t>
      </w:r>
      <w:r>
        <w:rPr>
          <w:sz w:val="24"/>
          <w:szCs w:val="22"/>
        </w:rPr>
        <w:t>GB50201</w:t>
      </w:r>
      <w:r>
        <w:rPr>
          <w:rFonts w:hint="eastAsia"/>
          <w:sz w:val="24"/>
          <w:szCs w:val="22"/>
        </w:rPr>
        <w:t>）的要求。当复核结果不符合标准《防洪标准》（</w:t>
      </w:r>
      <w:r>
        <w:rPr>
          <w:sz w:val="24"/>
          <w:szCs w:val="22"/>
        </w:rPr>
        <w:t>GB50201</w:t>
      </w:r>
      <w:r>
        <w:rPr>
          <w:rFonts w:hint="eastAsia"/>
          <w:sz w:val="24"/>
          <w:szCs w:val="22"/>
        </w:rPr>
        <w:t>）要求时，应进一步复核计算大坝可安全运行的洪水频率。</w:t>
      </w:r>
    </w:p>
    <w:p>
      <w:pPr>
        <w:spacing w:after="0" w:line="360" w:lineRule="auto"/>
        <w:ind w:firstLine="480" w:firstLineChars="200"/>
        <w:rPr>
          <w:sz w:val="24"/>
          <w:szCs w:val="22"/>
        </w:rPr>
      </w:pPr>
      <w:r>
        <w:rPr>
          <w:rFonts w:hint="eastAsia"/>
          <w:sz w:val="24"/>
          <w:szCs w:val="22"/>
        </w:rPr>
        <w:t>现状防洪能力满足规范要求，泄洪建筑物能够安全泄洪，防洪安全评为“A”级。</w:t>
      </w:r>
    </w:p>
    <w:p>
      <w:pPr>
        <w:spacing w:after="0" w:line="360" w:lineRule="auto"/>
        <w:ind w:firstLine="480" w:firstLineChars="200"/>
        <w:rPr>
          <w:sz w:val="24"/>
          <w:szCs w:val="22"/>
        </w:rPr>
      </w:pPr>
      <w:r>
        <w:rPr>
          <w:rFonts w:hint="eastAsia"/>
          <w:sz w:val="24"/>
          <w:szCs w:val="22"/>
        </w:rPr>
        <w:t>现状防洪能力不满足规范要求，泄洪建筑物不能安全泄洪，防洪安全评为“C”级。</w:t>
      </w:r>
    </w:p>
    <w:p>
      <w:pPr>
        <w:keepNext/>
        <w:keepLines/>
        <w:numPr>
          <w:ilvl w:val="2"/>
          <w:numId w:val="4"/>
        </w:numPr>
        <w:spacing w:before="156" w:beforeLines="50" w:line="360" w:lineRule="auto"/>
        <w:outlineLvl w:val="1"/>
        <w:rPr>
          <w:b/>
          <w:bCs/>
          <w:sz w:val="30"/>
          <w:szCs w:val="32"/>
        </w:rPr>
      </w:pPr>
      <w:r>
        <w:rPr>
          <w:rFonts w:hint="eastAsia"/>
          <w:b/>
          <w:bCs/>
          <w:sz w:val="30"/>
          <w:szCs w:val="32"/>
        </w:rPr>
        <w:t>工程质量评价</w:t>
      </w:r>
    </w:p>
    <w:p>
      <w:pPr>
        <w:spacing w:after="0" w:line="360" w:lineRule="auto"/>
        <w:ind w:firstLine="480" w:firstLineChars="200"/>
        <w:rPr>
          <w:sz w:val="24"/>
          <w:szCs w:val="22"/>
        </w:rPr>
      </w:pPr>
      <w:r>
        <w:rPr>
          <w:rFonts w:hint="eastAsia"/>
          <w:sz w:val="24"/>
          <w:szCs w:val="22"/>
        </w:rPr>
        <w:t>工程质量评价包括评价工程地质及水文地质条件；复查工程施工质量是否符合现行规范要求，包括基础处理、坝体和隐蔽工程的原始数据资料；检查工程运行期间质量方面的实际情况与变化，能否确保安全运行，并对工程质量进行综合评价。工程质量综合评价的结论是专为大坝安全技术认定区分工程质量等级而用的，有别于工程原竣工验收的质量评定。</w:t>
      </w:r>
    </w:p>
    <w:p>
      <w:pPr>
        <w:spacing w:after="0" w:line="360" w:lineRule="auto"/>
        <w:ind w:firstLine="480" w:firstLineChars="200"/>
        <w:rPr>
          <w:sz w:val="24"/>
          <w:szCs w:val="22"/>
        </w:rPr>
      </w:pPr>
      <w:r>
        <w:rPr>
          <w:rFonts w:hint="eastAsia"/>
          <w:sz w:val="24"/>
          <w:szCs w:val="22"/>
        </w:rPr>
        <w:t>工程质量评价的基本方法包括现场检查、历史资料分析和勘探、试验检查等方法。</w:t>
      </w:r>
    </w:p>
    <w:p>
      <w:pPr>
        <w:spacing w:after="0" w:line="360" w:lineRule="auto"/>
        <w:ind w:firstLine="480" w:firstLineChars="200"/>
        <w:rPr>
          <w:sz w:val="24"/>
          <w:szCs w:val="22"/>
        </w:rPr>
      </w:pPr>
      <w:r>
        <w:rPr>
          <w:rFonts w:hint="eastAsia"/>
          <w:sz w:val="24"/>
          <w:szCs w:val="22"/>
        </w:rPr>
        <w:t>土石坝工程质量综合评价的重点是渗流稳定性和坝坡稳定性，大坝工程质量综合评价尚应考虑影响大坝安全的输水泄水洞（管）及其金属结构的工程质量情况。</w:t>
      </w:r>
    </w:p>
    <w:p>
      <w:pPr>
        <w:spacing w:after="0" w:line="360" w:lineRule="auto"/>
        <w:ind w:firstLine="480" w:firstLineChars="200"/>
        <w:rPr>
          <w:sz w:val="24"/>
          <w:szCs w:val="22"/>
        </w:rPr>
      </w:pPr>
      <w:r>
        <w:rPr>
          <w:rFonts w:hint="eastAsia"/>
          <w:sz w:val="24"/>
          <w:szCs w:val="22"/>
        </w:rPr>
        <w:t>现状工程质量满足现行规范要求，或运行中暴露出部分质量缺陷，但不影响工程安全，评为“合格”；</w:t>
      </w:r>
    </w:p>
    <w:p>
      <w:pPr>
        <w:spacing w:after="0" w:line="360" w:lineRule="auto"/>
        <w:ind w:firstLine="480" w:firstLineChars="200"/>
        <w:rPr>
          <w:sz w:val="24"/>
          <w:szCs w:val="22"/>
        </w:rPr>
      </w:pPr>
      <w:r>
        <w:rPr>
          <w:rFonts w:hint="eastAsia"/>
          <w:sz w:val="24"/>
          <w:szCs w:val="22"/>
        </w:rPr>
        <w:t>现状工程质量不满足现行规范要求，或运行中暴露出严重质量问题，影响工程安全，评为“不合格”。</w:t>
      </w:r>
    </w:p>
    <w:p>
      <w:pPr>
        <w:keepNext/>
        <w:keepLines/>
        <w:numPr>
          <w:ilvl w:val="2"/>
          <w:numId w:val="4"/>
        </w:numPr>
        <w:spacing w:before="156" w:beforeLines="50" w:line="360" w:lineRule="auto"/>
        <w:outlineLvl w:val="1"/>
        <w:rPr>
          <w:b/>
          <w:bCs/>
          <w:sz w:val="30"/>
          <w:szCs w:val="32"/>
        </w:rPr>
      </w:pPr>
      <w:r>
        <w:rPr>
          <w:rFonts w:hint="eastAsia"/>
          <w:b/>
          <w:bCs/>
          <w:sz w:val="30"/>
          <w:szCs w:val="32"/>
        </w:rPr>
        <w:t>渗流安全评价</w:t>
      </w:r>
    </w:p>
    <w:p>
      <w:pPr>
        <w:spacing w:after="0" w:line="360" w:lineRule="auto"/>
        <w:ind w:firstLine="480" w:firstLineChars="200"/>
        <w:rPr>
          <w:sz w:val="24"/>
          <w:szCs w:val="22"/>
        </w:rPr>
      </w:pPr>
      <w:r>
        <w:rPr>
          <w:rFonts w:hint="eastAsia"/>
          <w:sz w:val="24"/>
          <w:szCs w:val="22"/>
        </w:rPr>
        <w:t>渗流安全评价内容包括复核工程防渗与反滤排水设施是否完善，设计、施工是否满足现行规范要求；渗流监测设施是否完备，能否正常监测；检查运行中发生过何种渗流异常现象，判断是否影响工程安全；分析现状条件下防渗和反滤排水设施工作性态，预测高水位运行时的渗流安全性；对已发现有问题的大坝，分析其原因和可能产生的危害。</w:t>
      </w:r>
    </w:p>
    <w:p>
      <w:pPr>
        <w:spacing w:after="0" w:line="360" w:lineRule="auto"/>
        <w:ind w:firstLine="480" w:firstLineChars="200"/>
        <w:rPr>
          <w:sz w:val="24"/>
          <w:szCs w:val="22"/>
        </w:rPr>
      </w:pPr>
      <w:r>
        <w:rPr>
          <w:rFonts w:hint="eastAsia"/>
          <w:sz w:val="24"/>
          <w:szCs w:val="22"/>
        </w:rPr>
        <w:t>渗流安全评价方法包括现场检查、监测资料分析和计算分析等方法，当有监测资料时，应优先采用监测资料分析法。</w:t>
      </w:r>
    </w:p>
    <w:p>
      <w:pPr>
        <w:spacing w:after="0" w:line="360" w:lineRule="auto"/>
        <w:ind w:firstLine="480" w:firstLineChars="200"/>
        <w:rPr>
          <w:sz w:val="24"/>
          <w:szCs w:val="22"/>
        </w:rPr>
      </w:pPr>
      <w:r>
        <w:rPr>
          <w:rFonts w:hint="eastAsia"/>
          <w:sz w:val="24"/>
          <w:szCs w:val="22"/>
        </w:rPr>
        <w:t>当各种岩土材料实际渗流比降小于规范允许下限，坝基扬压力小于设计值；运行中无渗流异常征兆；设有必要监测设施且能正常观测的，可认为该工程的渗流性态是安全的，评为“</w:t>
      </w:r>
      <w:r>
        <w:rPr>
          <w:sz w:val="24"/>
          <w:szCs w:val="22"/>
        </w:rPr>
        <w:t>A</w:t>
      </w:r>
      <w:r>
        <w:rPr>
          <w:rFonts w:hint="eastAsia"/>
          <w:sz w:val="24"/>
          <w:szCs w:val="22"/>
        </w:rPr>
        <w:t>”级。</w:t>
      </w:r>
    </w:p>
    <w:p>
      <w:pPr>
        <w:spacing w:after="0" w:line="360" w:lineRule="auto"/>
        <w:ind w:firstLine="480" w:firstLineChars="200"/>
        <w:rPr>
          <w:sz w:val="24"/>
          <w:szCs w:val="22"/>
        </w:rPr>
      </w:pPr>
      <w:r>
        <w:rPr>
          <w:rFonts w:hint="eastAsia"/>
          <w:sz w:val="24"/>
          <w:szCs w:val="22"/>
        </w:rPr>
        <w:t>当各种岩土材料的实际渗流比降大于规范允许下限，但未超过其上限或同类工程的经验安全值，坝基扬压力不超过设计值；有一定渗流异常但不影响大坝安全；未设置必要监测设施或不能正常观测的，可认为该工程的渗流性态基本安全，定为“</w:t>
      </w:r>
      <w:r>
        <w:rPr>
          <w:sz w:val="24"/>
          <w:szCs w:val="22"/>
        </w:rPr>
        <w:t>B</w:t>
      </w:r>
      <w:r>
        <w:rPr>
          <w:rFonts w:hint="eastAsia"/>
          <w:sz w:val="24"/>
          <w:szCs w:val="22"/>
        </w:rPr>
        <w:t>”级。</w:t>
      </w:r>
    </w:p>
    <w:p>
      <w:pPr>
        <w:spacing w:after="0" w:line="360" w:lineRule="auto"/>
        <w:ind w:firstLine="480" w:firstLineChars="200"/>
        <w:rPr>
          <w:sz w:val="24"/>
          <w:szCs w:val="22"/>
        </w:rPr>
      </w:pPr>
      <w:r>
        <w:rPr>
          <w:rFonts w:hint="eastAsia"/>
          <w:sz w:val="24"/>
          <w:szCs w:val="22"/>
        </w:rPr>
        <w:t>当各种岩土材料的实际渗流比降大于规范或经验类比的上限或破坏值，坝基扬压力大于设计值；工程渗流有不利性发展趋势；或工程出现严重渗流异常现象时，可认为该工程的渗流性态不安全，定为“</w:t>
      </w:r>
      <w:r>
        <w:rPr>
          <w:sz w:val="24"/>
          <w:szCs w:val="22"/>
        </w:rPr>
        <w:t>C</w:t>
      </w:r>
      <w:r>
        <w:rPr>
          <w:rFonts w:hint="eastAsia"/>
          <w:sz w:val="24"/>
          <w:szCs w:val="22"/>
        </w:rPr>
        <w:t>”级。</w:t>
      </w:r>
    </w:p>
    <w:p>
      <w:pPr>
        <w:keepNext/>
        <w:keepLines/>
        <w:numPr>
          <w:ilvl w:val="2"/>
          <w:numId w:val="4"/>
        </w:numPr>
        <w:spacing w:before="156" w:beforeLines="50" w:line="360" w:lineRule="auto"/>
        <w:outlineLvl w:val="1"/>
        <w:rPr>
          <w:b/>
          <w:bCs/>
          <w:sz w:val="30"/>
          <w:szCs w:val="32"/>
        </w:rPr>
      </w:pPr>
      <w:r>
        <w:rPr>
          <w:rFonts w:hint="eastAsia"/>
          <w:b/>
          <w:bCs/>
          <w:sz w:val="30"/>
          <w:szCs w:val="32"/>
        </w:rPr>
        <w:t>结构安全评价</w:t>
      </w:r>
    </w:p>
    <w:p>
      <w:pPr>
        <w:spacing w:after="0" w:line="360" w:lineRule="auto"/>
        <w:ind w:firstLine="480" w:firstLineChars="200"/>
        <w:rPr>
          <w:sz w:val="24"/>
          <w:szCs w:val="22"/>
        </w:rPr>
      </w:pPr>
      <w:r>
        <w:rPr>
          <w:rFonts w:hint="eastAsia"/>
          <w:sz w:val="24"/>
          <w:szCs w:val="22"/>
        </w:rPr>
        <w:t>结构安全评价的目的是按国家现行规范复核计算大坝目前在静、动力条件下的变形、强度及稳定是否满足要求。</w:t>
      </w:r>
    </w:p>
    <w:p>
      <w:pPr>
        <w:spacing w:after="0" w:line="360" w:lineRule="auto"/>
        <w:ind w:firstLine="480" w:firstLineChars="200"/>
        <w:rPr>
          <w:sz w:val="24"/>
          <w:szCs w:val="22"/>
        </w:rPr>
      </w:pPr>
      <w:r>
        <w:rPr>
          <w:rFonts w:hint="eastAsia"/>
          <w:sz w:val="24"/>
          <w:szCs w:val="22"/>
        </w:rPr>
        <w:t>结构安全评价方法主要有现场检查法、监测资料分析法和计算分析法等。当有监测资料时，应优先采用监测资料分析法并结合现场检查与计算分析综合评价大坝的结构安全性；当缺乏监测资料时，可采用计算分析结合现场检查评价大坝的结构安全性。对已暴露出的问题或出现异常情况（如裂缝、塌陷、滑坡等）应做重点复核计算。</w:t>
      </w:r>
    </w:p>
    <w:p>
      <w:pPr>
        <w:spacing w:after="0" w:line="360" w:lineRule="auto"/>
        <w:ind w:firstLine="480" w:firstLineChars="200"/>
        <w:rPr>
          <w:sz w:val="24"/>
          <w:szCs w:val="22"/>
        </w:rPr>
      </w:pPr>
      <w:r>
        <w:rPr>
          <w:rFonts w:hint="eastAsia"/>
          <w:sz w:val="24"/>
          <w:szCs w:val="22"/>
        </w:rPr>
        <w:t>土石坝结构安全评价内容主要包括坝顶高程复核、坝体变形及稳定分析复核。</w:t>
      </w:r>
    </w:p>
    <w:p>
      <w:pPr>
        <w:spacing w:after="0" w:line="360" w:lineRule="auto"/>
        <w:ind w:firstLine="480" w:firstLineChars="200"/>
        <w:rPr>
          <w:sz w:val="24"/>
          <w:szCs w:val="22"/>
        </w:rPr>
      </w:pPr>
      <w:r>
        <w:rPr>
          <w:rFonts w:hint="eastAsia"/>
          <w:sz w:val="24"/>
          <w:szCs w:val="22"/>
        </w:rPr>
        <w:t>输、泄水建筑物结构安全评价主要是复核地基应力、结构强度与稳定是否满足规范要求，泄流设施泄流能力及消能防冲能力是否满足设计要求；输水建筑物结构安全评价主要是复核结构强度是否满足规范要求。若不满足设计要求，是否会危及到本工程和大坝的安全。对已暴露出的问题或异常工况应做重点复核计算。</w:t>
      </w:r>
    </w:p>
    <w:p>
      <w:pPr>
        <w:spacing w:after="0" w:line="360" w:lineRule="auto"/>
        <w:ind w:firstLine="480" w:firstLineChars="200"/>
        <w:rPr>
          <w:sz w:val="24"/>
          <w:szCs w:val="22"/>
        </w:rPr>
      </w:pPr>
      <w:r>
        <w:rPr>
          <w:rFonts w:hint="eastAsia"/>
          <w:sz w:val="24"/>
          <w:szCs w:val="22"/>
        </w:rPr>
        <w:t>其他建筑物结构安全评价包括虹吸管、应急放水设施、非定向开挖隧洞，以及与大坝及输、泄水建筑物安全的其他附属设施，其他建筑物的结构安全评价按照有关设计规范进行。</w:t>
      </w:r>
    </w:p>
    <w:p>
      <w:pPr>
        <w:spacing w:after="0" w:line="360" w:lineRule="auto"/>
        <w:ind w:firstLine="480" w:firstLineChars="200"/>
        <w:rPr>
          <w:sz w:val="24"/>
          <w:szCs w:val="22"/>
        </w:rPr>
      </w:pPr>
      <w:r>
        <w:rPr>
          <w:rFonts w:hint="eastAsia"/>
          <w:sz w:val="24"/>
          <w:szCs w:val="22"/>
        </w:rPr>
        <w:t>近坝库岸和边坡稳定分析主要对危及大坝、输泄水建筑物及附属设施安全的新老滑坡体或潜在滑坡体进行相关分析，判断其对大坝和输泄水建筑物安全性影响。</w:t>
      </w:r>
    </w:p>
    <w:p>
      <w:pPr>
        <w:spacing w:after="0" w:line="360" w:lineRule="auto"/>
        <w:ind w:firstLine="480" w:firstLineChars="200"/>
        <w:rPr>
          <w:sz w:val="24"/>
          <w:szCs w:val="22"/>
        </w:rPr>
      </w:pPr>
      <w:r>
        <w:rPr>
          <w:rFonts w:hint="eastAsia"/>
          <w:sz w:val="24"/>
          <w:szCs w:val="22"/>
        </w:rPr>
        <w:t>建筑物顶高程（或平台高程）以及强度和稳定满足规范要求，大坝无异常变形现象，近坝库岸稳定，且设置有应急放水设施的，可认为大坝结构安全，评为“</w:t>
      </w:r>
      <w:r>
        <w:rPr>
          <w:sz w:val="24"/>
          <w:szCs w:val="22"/>
        </w:rPr>
        <w:t>A</w:t>
      </w:r>
      <w:r>
        <w:rPr>
          <w:rFonts w:hint="eastAsia"/>
          <w:sz w:val="24"/>
          <w:szCs w:val="22"/>
        </w:rPr>
        <w:t>”级；</w:t>
      </w:r>
    </w:p>
    <w:p>
      <w:pPr>
        <w:spacing w:after="0" w:line="360" w:lineRule="auto"/>
        <w:ind w:firstLine="480" w:firstLineChars="200"/>
        <w:rPr>
          <w:sz w:val="24"/>
          <w:szCs w:val="22"/>
        </w:rPr>
      </w:pPr>
      <w:r>
        <w:rPr>
          <w:rFonts w:hint="eastAsia"/>
          <w:sz w:val="24"/>
          <w:szCs w:val="22"/>
        </w:rPr>
        <w:t>建筑物顶高程（或平台高程）以及大坝整体稳定满足规范要求，近坝库岸整体稳定，存在局部强度不足或异常变形尚不严重影响大坝安全，或未设置应急放水设施的，可认为大坝结构基本安全，评为“</w:t>
      </w:r>
      <w:r>
        <w:rPr>
          <w:sz w:val="24"/>
          <w:szCs w:val="22"/>
        </w:rPr>
        <w:t>B</w:t>
      </w:r>
      <w:r>
        <w:rPr>
          <w:rFonts w:hint="eastAsia"/>
          <w:sz w:val="24"/>
          <w:szCs w:val="22"/>
        </w:rPr>
        <w:t>”级；</w:t>
      </w:r>
    </w:p>
    <w:p>
      <w:pPr>
        <w:spacing w:after="0" w:line="360" w:lineRule="auto"/>
        <w:ind w:firstLine="480" w:firstLineChars="200"/>
        <w:rPr>
          <w:sz w:val="24"/>
          <w:szCs w:val="22"/>
        </w:rPr>
      </w:pPr>
      <w:r>
        <w:rPr>
          <w:rFonts w:hint="eastAsia"/>
          <w:sz w:val="24"/>
          <w:szCs w:val="22"/>
        </w:rPr>
        <w:t>建筑物顶高程（或平台高程）或强度与稳定不满足规范要求，大坝存在危及安全的变形，或近坝库岸不稳定，可认为大坝结构不安全，评为“</w:t>
      </w:r>
      <w:r>
        <w:rPr>
          <w:sz w:val="24"/>
          <w:szCs w:val="22"/>
        </w:rPr>
        <w:t>C</w:t>
      </w:r>
      <w:r>
        <w:rPr>
          <w:rFonts w:hint="eastAsia"/>
          <w:sz w:val="24"/>
          <w:szCs w:val="22"/>
        </w:rPr>
        <w:t>”级。</w:t>
      </w:r>
    </w:p>
    <w:p>
      <w:pPr>
        <w:keepNext/>
        <w:keepLines/>
        <w:numPr>
          <w:ilvl w:val="2"/>
          <w:numId w:val="4"/>
        </w:numPr>
        <w:spacing w:before="156" w:beforeLines="50" w:line="360" w:lineRule="auto"/>
        <w:outlineLvl w:val="1"/>
        <w:rPr>
          <w:b/>
          <w:bCs/>
          <w:sz w:val="30"/>
          <w:szCs w:val="32"/>
        </w:rPr>
      </w:pPr>
      <w:r>
        <w:rPr>
          <w:rFonts w:hint="eastAsia"/>
          <w:b/>
          <w:bCs/>
          <w:sz w:val="30"/>
          <w:szCs w:val="32"/>
        </w:rPr>
        <w:t>金属结构安全评价</w:t>
      </w:r>
    </w:p>
    <w:p>
      <w:pPr>
        <w:spacing w:after="0" w:line="360" w:lineRule="auto"/>
        <w:ind w:firstLine="480" w:firstLineChars="200"/>
        <w:rPr>
          <w:sz w:val="24"/>
          <w:szCs w:val="22"/>
        </w:rPr>
      </w:pPr>
      <w:r>
        <w:rPr>
          <w:rFonts w:hint="eastAsia"/>
          <w:sz w:val="24"/>
          <w:szCs w:val="22"/>
        </w:rPr>
        <w:t>金属结构安全评价的目的是评价泄洪、输水建筑物的钢闸门和启闭设施等，在现状条件下能否按设计要求安全运行。</w:t>
      </w:r>
    </w:p>
    <w:p>
      <w:pPr>
        <w:spacing w:after="0" w:line="360" w:lineRule="auto"/>
        <w:ind w:firstLine="480" w:firstLineChars="200"/>
        <w:rPr>
          <w:sz w:val="24"/>
          <w:szCs w:val="22"/>
        </w:rPr>
      </w:pPr>
      <w:r>
        <w:rPr>
          <w:rFonts w:hint="eastAsia"/>
          <w:sz w:val="24"/>
          <w:szCs w:val="22"/>
        </w:rPr>
        <w:t>金属结构安全评价的重点是对钢闸门强度、刚度和稳定性进行验算，对启闭机的启闭能力进行复核，对压力钢管强度、抗外压稳定性进行验算；电气设备安全评价的重点是对设备安全性、可靠性和完整性进行复核。</w:t>
      </w:r>
    </w:p>
    <w:p>
      <w:pPr>
        <w:spacing w:after="0" w:line="360" w:lineRule="auto"/>
        <w:ind w:firstLine="480" w:firstLineChars="200"/>
        <w:rPr>
          <w:sz w:val="24"/>
          <w:szCs w:val="22"/>
        </w:rPr>
      </w:pPr>
      <w:r>
        <w:rPr>
          <w:rFonts w:hint="eastAsia"/>
          <w:sz w:val="24"/>
          <w:szCs w:val="22"/>
        </w:rPr>
        <w:t>金属结构安全评价主要以现场安全检查为主，辅以必要的安全检测及计算分析等综合评定。</w:t>
      </w:r>
    </w:p>
    <w:p>
      <w:pPr>
        <w:spacing w:after="0" w:line="360" w:lineRule="auto"/>
        <w:ind w:firstLine="480" w:firstLineChars="200"/>
        <w:rPr>
          <w:sz w:val="24"/>
          <w:szCs w:val="22"/>
        </w:rPr>
      </w:pPr>
      <w:r>
        <w:rPr>
          <w:rFonts w:hint="eastAsia"/>
          <w:sz w:val="24"/>
          <w:szCs w:val="22"/>
        </w:rPr>
        <w:t>电气设备安全评价主要以现场安全检查为主，明确供电电源的可靠性及其供电容量能否满足要求，泄洪闸有无备用电源，安全供电有无保障等。</w:t>
      </w:r>
    </w:p>
    <w:p>
      <w:pPr>
        <w:spacing w:after="0" w:line="360" w:lineRule="auto"/>
        <w:ind w:firstLine="480" w:firstLineChars="200"/>
        <w:rPr>
          <w:sz w:val="24"/>
          <w:szCs w:val="22"/>
        </w:rPr>
      </w:pPr>
      <w:r>
        <w:rPr>
          <w:rFonts w:hint="eastAsia"/>
          <w:sz w:val="24"/>
          <w:szCs w:val="22"/>
        </w:rPr>
        <w:t>钢闸门、启闭机、压力钢管等能正常工作，金属结构强度、刚度及稳定性满足规范要求，运行、管理与维护状况良好，供电安全可靠，可认为金属结构安全，评为“</w:t>
      </w:r>
      <w:r>
        <w:rPr>
          <w:sz w:val="24"/>
          <w:szCs w:val="22"/>
        </w:rPr>
        <w:t>A</w:t>
      </w:r>
      <w:r>
        <w:rPr>
          <w:rFonts w:hint="eastAsia"/>
          <w:sz w:val="24"/>
          <w:szCs w:val="22"/>
        </w:rPr>
        <w:t>”级。</w:t>
      </w:r>
    </w:p>
    <w:p>
      <w:pPr>
        <w:spacing w:after="0" w:line="360" w:lineRule="auto"/>
        <w:ind w:firstLine="480" w:firstLineChars="200"/>
        <w:rPr>
          <w:sz w:val="24"/>
          <w:szCs w:val="22"/>
        </w:rPr>
      </w:pPr>
      <w:r>
        <w:rPr>
          <w:rFonts w:hint="eastAsia"/>
          <w:sz w:val="24"/>
          <w:szCs w:val="22"/>
        </w:rPr>
        <w:t>钢闸门、启闭机、压力钢管等结构局部不能正常工作，经维护能正常运行；泄洪闸无备用电源，安全供电无保障；可认定金属结构基本安全，评为“</w:t>
      </w:r>
      <w:r>
        <w:rPr>
          <w:sz w:val="24"/>
          <w:szCs w:val="22"/>
        </w:rPr>
        <w:t>B</w:t>
      </w:r>
      <w:r>
        <w:rPr>
          <w:rFonts w:hint="eastAsia"/>
          <w:sz w:val="24"/>
          <w:szCs w:val="22"/>
        </w:rPr>
        <w:t>”级。</w:t>
      </w:r>
    </w:p>
    <w:p>
      <w:pPr>
        <w:spacing w:after="0" w:line="360" w:lineRule="auto"/>
        <w:ind w:firstLine="480" w:firstLineChars="200"/>
        <w:rPr>
          <w:sz w:val="24"/>
          <w:szCs w:val="22"/>
        </w:rPr>
      </w:pPr>
      <w:r>
        <w:rPr>
          <w:rFonts w:hint="eastAsia"/>
          <w:sz w:val="24"/>
          <w:szCs w:val="22"/>
        </w:rPr>
        <w:t>金属结构超过报废折旧年限，老化锈蚀严重必须更换，可认为金属结构不安全，评为“</w:t>
      </w:r>
      <w:r>
        <w:rPr>
          <w:sz w:val="24"/>
          <w:szCs w:val="22"/>
        </w:rPr>
        <w:t>C</w:t>
      </w:r>
      <w:r>
        <w:rPr>
          <w:rFonts w:hint="eastAsia"/>
          <w:sz w:val="24"/>
          <w:szCs w:val="22"/>
        </w:rPr>
        <w:t>”级。</w:t>
      </w:r>
    </w:p>
    <w:p>
      <w:pPr>
        <w:keepNext/>
        <w:keepLines/>
        <w:numPr>
          <w:ilvl w:val="2"/>
          <w:numId w:val="4"/>
        </w:numPr>
        <w:spacing w:before="156" w:beforeLines="50" w:line="360" w:lineRule="auto"/>
        <w:outlineLvl w:val="1"/>
        <w:rPr>
          <w:b/>
          <w:bCs/>
          <w:sz w:val="30"/>
          <w:szCs w:val="32"/>
        </w:rPr>
      </w:pPr>
      <w:r>
        <w:rPr>
          <w:rFonts w:hint="eastAsia"/>
          <w:b/>
          <w:bCs/>
          <w:sz w:val="30"/>
          <w:szCs w:val="32"/>
        </w:rPr>
        <w:t>地质勘探</w:t>
      </w:r>
    </w:p>
    <w:p>
      <w:pPr>
        <w:spacing w:after="0" w:line="360" w:lineRule="auto"/>
        <w:ind w:firstLine="480" w:firstLineChars="200"/>
        <w:rPr>
          <w:sz w:val="24"/>
          <w:szCs w:val="22"/>
        </w:rPr>
      </w:pPr>
      <w:r>
        <w:rPr>
          <w:rFonts w:hint="eastAsia"/>
          <w:sz w:val="24"/>
          <w:szCs w:val="22"/>
        </w:rPr>
        <w:t>本次水库要求进行地质勘探，需提供地质勘察与试验方案，钻孔方案应满足安全鉴定技术需要，试验成果应满足《水利水电工程地质勘察规范》（GB50487）、《水利水电工程钻探规程》（SL291）、《水利水电工</w:t>
      </w:r>
      <w:bookmarkStart w:id="1" w:name="_GoBack"/>
      <w:bookmarkEnd w:id="1"/>
      <w:r>
        <w:rPr>
          <w:rFonts w:hint="eastAsia"/>
          <w:sz w:val="24"/>
          <w:szCs w:val="22"/>
        </w:rPr>
        <w:t>程钻孔注水试验规程》（SL345）、《土工试验方法标准》（GB/T50123）等相关规范要求。对水库存在的地质问题作出综合评价。</w:t>
      </w:r>
    </w:p>
    <w:p>
      <w:pPr>
        <w:keepNext/>
        <w:keepLines/>
        <w:numPr>
          <w:ilvl w:val="2"/>
          <w:numId w:val="4"/>
        </w:numPr>
        <w:spacing w:before="156" w:beforeLines="50" w:line="360" w:lineRule="auto"/>
        <w:outlineLvl w:val="1"/>
        <w:rPr>
          <w:b/>
          <w:bCs/>
          <w:sz w:val="30"/>
          <w:szCs w:val="32"/>
        </w:rPr>
      </w:pPr>
      <w:r>
        <w:rPr>
          <w:rFonts w:hint="eastAsia"/>
          <w:b/>
          <w:bCs/>
          <w:sz w:val="30"/>
          <w:szCs w:val="32"/>
        </w:rPr>
        <w:t>大坝安全综合评价</w:t>
      </w:r>
    </w:p>
    <w:p>
      <w:pPr>
        <w:spacing w:after="0" w:line="360" w:lineRule="auto"/>
        <w:ind w:firstLine="480" w:firstLineChars="200"/>
        <w:rPr>
          <w:sz w:val="24"/>
          <w:szCs w:val="22"/>
        </w:rPr>
      </w:pPr>
      <w:r>
        <w:rPr>
          <w:rFonts w:hint="eastAsia"/>
          <w:sz w:val="24"/>
          <w:szCs w:val="22"/>
        </w:rPr>
        <w:t>大坝安全综合评价包括现场安全检查、运行管理、防洪安全、工程质量、渗流安全、结构安全和金属结构安全等的评价。将防洪安全、渗流安全、结构安全和金属结构安全的复核评价结果对照相应的安全分级标准或准则，确定其安全性级别。防洪安全分为“A”、“C”二级，渗流安全、结构安全和金属结构安全分为“A”、“B”、“C”三级；“A”级为安全可靠，“B”级为安全但有缺陷，“C”级为不安全。同时对工程质量和运行管理进行定性评价，确定工程质量分为“合格”或“不合格”，大坝运行管理分为“好”、“较好”或“差”，作为大坝安全综合评价的参考依据。</w:t>
      </w:r>
    </w:p>
    <w:p>
      <w:pPr>
        <w:spacing w:after="0" w:line="360" w:lineRule="auto"/>
        <w:ind w:firstLine="480" w:firstLineChars="200"/>
        <w:rPr>
          <w:sz w:val="24"/>
          <w:szCs w:val="22"/>
        </w:rPr>
      </w:pPr>
      <w:r>
        <w:rPr>
          <w:rFonts w:hint="eastAsia"/>
          <w:sz w:val="24"/>
          <w:szCs w:val="22"/>
        </w:rPr>
        <w:t>大坝安全综合评价应以专家认可的复核评价结果对照相应的安全性分级标准或准则，确定大坝安全性级别。</w:t>
      </w:r>
    </w:p>
    <w:p>
      <w:pPr>
        <w:spacing w:after="0" w:line="360" w:lineRule="auto"/>
        <w:ind w:firstLine="480" w:firstLineChars="200"/>
        <w:rPr>
          <w:sz w:val="24"/>
          <w:szCs w:val="22"/>
        </w:rPr>
      </w:pPr>
      <w:r>
        <w:rPr>
          <w:rFonts w:hint="eastAsia"/>
          <w:sz w:val="24"/>
          <w:szCs w:val="22"/>
        </w:rPr>
        <w:t>1、有一项“C”级，认定为“三类坝”；</w:t>
      </w:r>
    </w:p>
    <w:p>
      <w:pPr>
        <w:spacing w:after="0" w:line="360" w:lineRule="auto"/>
        <w:ind w:firstLine="480" w:firstLineChars="200"/>
        <w:rPr>
          <w:sz w:val="24"/>
          <w:szCs w:val="22"/>
        </w:rPr>
      </w:pPr>
      <w:r>
        <w:rPr>
          <w:rFonts w:hint="eastAsia"/>
          <w:sz w:val="24"/>
          <w:szCs w:val="22"/>
        </w:rPr>
        <w:t>2、有一项“B”级，认定为“二类坝”；</w:t>
      </w:r>
    </w:p>
    <w:p>
      <w:pPr>
        <w:spacing w:after="0" w:line="360" w:lineRule="auto"/>
        <w:ind w:firstLine="480" w:firstLineChars="200"/>
        <w:rPr>
          <w:sz w:val="24"/>
          <w:szCs w:val="22"/>
        </w:rPr>
      </w:pPr>
      <w:r>
        <w:rPr>
          <w:rFonts w:hint="eastAsia"/>
          <w:sz w:val="24"/>
          <w:szCs w:val="22"/>
        </w:rPr>
        <w:t>3、均为“A”级，认定为“一类坝”。</w:t>
      </w:r>
    </w:p>
    <w:p>
      <w:pPr>
        <w:spacing w:after="0" w:line="360" w:lineRule="auto"/>
        <w:ind w:firstLine="480" w:firstLineChars="200"/>
        <w:rPr>
          <w:sz w:val="24"/>
          <w:szCs w:val="22"/>
        </w:rPr>
      </w:pPr>
      <w:r>
        <w:rPr>
          <w:rFonts w:hint="eastAsia"/>
          <w:sz w:val="24"/>
          <w:szCs w:val="22"/>
        </w:rPr>
        <w:t>对认定为“二类坝”、“三类坝”，应提出加固处理措施的建议。</w:t>
      </w:r>
    </w:p>
    <w:p>
      <w:pPr>
        <w:spacing w:after="0" w:line="360" w:lineRule="auto"/>
        <w:ind w:firstLine="480" w:firstLineChars="200"/>
        <w:rPr>
          <w:sz w:val="24"/>
          <w:szCs w:val="22"/>
        </w:rPr>
      </w:pPr>
    </w:p>
    <w:p>
      <w:pPr>
        <w:keepNext/>
        <w:keepLines/>
        <w:numPr>
          <w:ilvl w:val="2"/>
          <w:numId w:val="4"/>
        </w:numPr>
        <w:spacing w:before="156" w:beforeLines="50" w:line="360" w:lineRule="auto"/>
        <w:outlineLvl w:val="1"/>
        <w:rPr>
          <w:b/>
          <w:bCs/>
          <w:sz w:val="30"/>
          <w:szCs w:val="32"/>
        </w:rPr>
      </w:pPr>
      <w:r>
        <w:rPr>
          <w:b/>
          <w:bCs/>
          <w:sz w:val="30"/>
          <w:szCs w:val="32"/>
        </w:rPr>
        <w:t>成果提交</w:t>
      </w:r>
    </w:p>
    <w:p>
      <w:pPr>
        <w:spacing w:after="0" w:line="360" w:lineRule="auto"/>
        <w:ind w:firstLine="480" w:firstLineChars="200"/>
        <w:rPr>
          <w:sz w:val="24"/>
          <w:szCs w:val="22"/>
        </w:rPr>
      </w:pPr>
      <w:r>
        <w:rPr>
          <w:rFonts w:hint="eastAsia"/>
          <w:sz w:val="24"/>
          <w:szCs w:val="22"/>
        </w:rPr>
        <w:t>在完成大坝安全技术认定后，拟形成如下成果（但不限于）：</w:t>
      </w:r>
    </w:p>
    <w:p>
      <w:pPr>
        <w:spacing w:after="0" w:line="360" w:lineRule="auto"/>
        <w:ind w:firstLine="480" w:firstLineChars="200"/>
        <w:rPr>
          <w:sz w:val="24"/>
          <w:szCs w:val="22"/>
        </w:rPr>
      </w:pPr>
      <w:r>
        <w:rPr>
          <w:rFonts w:hint="eastAsia"/>
          <w:sz w:val="24"/>
          <w:szCs w:val="22"/>
        </w:rPr>
        <w:t>1、《三门县</w:t>
      </w:r>
      <w:r>
        <w:rPr>
          <w:rFonts w:hint="eastAsia"/>
          <w:sz w:val="24"/>
          <w:szCs w:val="22"/>
          <w:lang w:val="en-US" w:eastAsia="zh-CN"/>
        </w:rPr>
        <w:t>下叶</w:t>
      </w:r>
      <w:r>
        <w:rPr>
          <w:rFonts w:hint="eastAsia"/>
          <w:sz w:val="24"/>
          <w:szCs w:val="22"/>
        </w:rPr>
        <w:t>水库大坝安全技术认定报告》；</w:t>
      </w:r>
    </w:p>
    <w:p>
      <w:pPr>
        <w:spacing w:after="0" w:line="360" w:lineRule="auto"/>
        <w:ind w:firstLine="480" w:firstLineChars="200"/>
        <w:rPr>
          <w:sz w:val="24"/>
          <w:szCs w:val="22"/>
        </w:rPr>
      </w:pPr>
      <w:r>
        <w:rPr>
          <w:rFonts w:hint="eastAsia"/>
          <w:sz w:val="24"/>
          <w:szCs w:val="22"/>
        </w:rPr>
        <w:t>2、《三门县</w:t>
      </w:r>
      <w:r>
        <w:rPr>
          <w:rFonts w:hint="eastAsia"/>
          <w:sz w:val="24"/>
          <w:szCs w:val="22"/>
          <w:lang w:val="en-US" w:eastAsia="zh-CN"/>
        </w:rPr>
        <w:t>下叶</w:t>
      </w:r>
      <w:r>
        <w:rPr>
          <w:rFonts w:hint="eastAsia"/>
          <w:sz w:val="24"/>
          <w:szCs w:val="22"/>
        </w:rPr>
        <w:t>水库大坝地质勘察报告》；</w:t>
      </w:r>
    </w:p>
    <w:p>
      <w:pPr>
        <w:pStyle w:val="5"/>
        <w:tabs>
          <w:tab w:val="left" w:pos="8280"/>
        </w:tabs>
        <w:rPr>
          <w:sz w:val="30"/>
        </w:rPr>
      </w:pPr>
      <w:r>
        <w:rPr>
          <w:rFonts w:hint="eastAsia"/>
          <w:sz w:val="30"/>
        </w:rPr>
        <w:t>3验收</w:t>
      </w:r>
    </w:p>
    <w:p>
      <w:pPr>
        <w:pStyle w:val="56"/>
        <w:spacing w:line="360" w:lineRule="auto"/>
        <w:ind w:firstLine="480" w:firstLineChars="200"/>
        <w:rPr>
          <w:rFonts w:ascii="宋体" w:hAnsi="宋体"/>
          <w:kern w:val="2"/>
        </w:rPr>
      </w:pPr>
      <w:r>
        <w:rPr>
          <w:rFonts w:hint="eastAsia" w:ascii="Times New Roman" w:hAnsi="Times New Roman" w:cs="Times New Roman"/>
          <w:kern w:val="2"/>
          <w:sz w:val="24"/>
          <w:szCs w:val="22"/>
        </w:rPr>
        <w:t>招标方组织相关专业的专家组成专家组，进行现场调研，评审安全技术认定承担单位提出的安全技术认定报告（送审稿）；安全技术认定承担单位根据评审意见修改安全技术认定报告，随后提交完整全面的提交安全技术认定报告（报批稿）。</w:t>
      </w:r>
    </w:p>
    <w:p>
      <w:pPr>
        <w:pStyle w:val="5"/>
        <w:tabs>
          <w:tab w:val="left" w:pos="8280"/>
        </w:tabs>
        <w:rPr>
          <w:sz w:val="30"/>
        </w:rPr>
      </w:pPr>
      <w:r>
        <w:rPr>
          <w:rFonts w:hint="eastAsia"/>
          <w:sz w:val="30"/>
        </w:rPr>
        <w:t>4技术资料</w:t>
      </w:r>
    </w:p>
    <w:p>
      <w:pPr>
        <w:pStyle w:val="56"/>
        <w:spacing w:line="360" w:lineRule="auto"/>
        <w:ind w:firstLine="480" w:firstLineChars="200"/>
        <w:rPr>
          <w:rFonts w:ascii="Times New Roman" w:hAnsi="Times New Roman" w:cs="Times New Roman"/>
          <w:kern w:val="2"/>
          <w:sz w:val="24"/>
          <w:szCs w:val="22"/>
        </w:rPr>
      </w:pPr>
      <w:r>
        <w:rPr>
          <w:rFonts w:hint="eastAsia" w:ascii="Times New Roman" w:hAnsi="Times New Roman" w:cs="Times New Roman"/>
          <w:kern w:val="2"/>
          <w:sz w:val="24"/>
          <w:szCs w:val="22"/>
        </w:rPr>
        <w:t>1、中标人应于验收后向用户提供验收报告、技术文档的归纳、整理、提交，并提供完整的货物技术资料。</w:t>
      </w:r>
    </w:p>
    <w:p>
      <w:pPr>
        <w:pStyle w:val="56"/>
        <w:spacing w:line="360" w:lineRule="auto"/>
        <w:ind w:firstLine="480" w:firstLineChars="200"/>
        <w:rPr>
          <w:rFonts w:ascii="Times New Roman" w:hAnsi="Times New Roman" w:cs="Times New Roman"/>
          <w:kern w:val="2"/>
          <w:sz w:val="24"/>
          <w:szCs w:val="22"/>
        </w:rPr>
      </w:pPr>
      <w:r>
        <w:rPr>
          <w:rFonts w:hint="eastAsia" w:ascii="Times New Roman" w:hAnsi="Times New Roman" w:cs="Times New Roman"/>
          <w:kern w:val="2"/>
          <w:sz w:val="24"/>
          <w:szCs w:val="22"/>
        </w:rPr>
        <w:t>2、本项目的所有中间成果、最终成果以及招标人提供的资料，其所有权均属招标人，未经招标人同意，应标方不得外泄，否则招标人有权追究应标方的责任。</w:t>
      </w:r>
    </w:p>
    <w:p>
      <w:pPr>
        <w:pStyle w:val="56"/>
        <w:spacing w:line="360" w:lineRule="auto"/>
        <w:ind w:firstLine="480" w:firstLineChars="200"/>
        <w:rPr>
          <w:rFonts w:ascii="Times New Roman" w:hAnsi="Times New Roman" w:cs="Times New Roman"/>
          <w:kern w:val="2"/>
          <w:sz w:val="24"/>
          <w:szCs w:val="22"/>
        </w:rPr>
      </w:pPr>
      <w:r>
        <w:rPr>
          <w:rFonts w:hint="eastAsia" w:ascii="Times New Roman" w:hAnsi="Times New Roman" w:cs="Times New Roman"/>
          <w:kern w:val="2"/>
          <w:sz w:val="24"/>
          <w:szCs w:val="22"/>
        </w:rPr>
        <w:t>3、技术文件：包括验收报告、技术文档、完整的服务技术资料。</w:t>
      </w:r>
    </w:p>
    <w:p>
      <w:pPr>
        <w:pStyle w:val="5"/>
        <w:tabs>
          <w:tab w:val="left" w:pos="8280"/>
        </w:tabs>
        <w:rPr>
          <w:sz w:val="30"/>
        </w:rPr>
      </w:pPr>
      <w:r>
        <w:rPr>
          <w:rFonts w:hint="eastAsia"/>
          <w:sz w:val="30"/>
        </w:rPr>
        <w:t>5配合条件</w:t>
      </w:r>
    </w:p>
    <w:p>
      <w:pPr>
        <w:ind w:firstLine="480" w:firstLineChars="200"/>
        <w:rPr>
          <w:rFonts w:ascii="宋体" w:hAnsi="宋体"/>
          <w:szCs w:val="21"/>
        </w:rPr>
      </w:pPr>
      <w:r>
        <w:rPr>
          <w:rFonts w:hint="eastAsia"/>
          <w:sz w:val="24"/>
          <w:szCs w:val="22"/>
        </w:rPr>
        <w:t>中标人在投标文件中要列明在项目实施过程中要求招标方提供的配合条件。</w:t>
      </w:r>
    </w:p>
    <w:p>
      <w:pPr>
        <w:pStyle w:val="57"/>
        <w:spacing w:line="460" w:lineRule="exact"/>
        <w:rPr>
          <w:rFonts w:ascii="Times New Roman" w:hAnsi="Times New Roman"/>
          <w:b/>
          <w:bCs/>
          <w:kern w:val="2"/>
          <w:sz w:val="30"/>
          <w:szCs w:val="32"/>
        </w:rPr>
      </w:pPr>
      <w:r>
        <w:rPr>
          <w:rFonts w:hint="eastAsia" w:ascii="Times New Roman" w:hAnsi="Times New Roman"/>
          <w:b/>
          <w:bCs/>
          <w:kern w:val="2"/>
          <w:sz w:val="30"/>
          <w:szCs w:val="32"/>
        </w:rPr>
        <w:t>6服务期</w:t>
      </w:r>
    </w:p>
    <w:p>
      <w:pPr>
        <w:pStyle w:val="57"/>
        <w:spacing w:line="460" w:lineRule="exact"/>
        <w:ind w:firstLine="480" w:firstLineChars="200"/>
        <w:rPr>
          <w:rFonts w:cs="宋体"/>
        </w:rPr>
      </w:pPr>
      <w:r>
        <w:rPr>
          <w:rFonts w:hint="eastAsia" w:cs="宋体"/>
        </w:rPr>
        <w:t>中标人须在合同签订后</w:t>
      </w:r>
      <w:r>
        <w:rPr>
          <w:rFonts w:hint="eastAsia" w:cs="宋体"/>
          <w:lang w:val="en-US" w:eastAsia="zh-CN"/>
        </w:rPr>
        <w:t>60</w:t>
      </w:r>
      <w:r>
        <w:rPr>
          <w:rFonts w:hint="eastAsia" w:cs="宋体"/>
        </w:rPr>
        <w:t>天内完成本项目并提交成果资料且通过有关验收。</w:t>
      </w:r>
    </w:p>
    <w:p>
      <w:pPr>
        <w:widowControl/>
        <w:spacing w:after="0" w:line="360" w:lineRule="auto"/>
        <w:jc w:val="left"/>
        <w:rPr>
          <w:b/>
          <w:bCs/>
          <w:sz w:val="30"/>
          <w:szCs w:val="32"/>
        </w:rPr>
      </w:pPr>
      <w:r>
        <w:rPr>
          <w:rFonts w:hint="eastAsia"/>
          <w:b/>
          <w:bCs/>
          <w:sz w:val="30"/>
          <w:szCs w:val="32"/>
        </w:rPr>
        <w:t>7付款方式</w:t>
      </w:r>
    </w:p>
    <w:p>
      <w:pPr>
        <w:spacing w:line="360" w:lineRule="auto"/>
        <w:ind w:firstLine="480" w:firstLineChars="200"/>
        <w:rPr>
          <w:rFonts w:ascii="宋体" w:hAnsi="Lucida Sans" w:cs="宋体"/>
          <w:kern w:val="0"/>
          <w:sz w:val="24"/>
        </w:rPr>
      </w:pPr>
      <w:r>
        <w:rPr>
          <w:rFonts w:hint="eastAsia" w:ascii="宋体" w:hAnsi="Lucida Sans" w:cs="宋体"/>
          <w:kern w:val="0"/>
          <w:sz w:val="24"/>
        </w:rPr>
        <w:t>1、本工程采用总价承包，在合同实施期间费用不作调整。</w:t>
      </w:r>
    </w:p>
    <w:p>
      <w:pPr>
        <w:spacing w:line="360" w:lineRule="auto"/>
        <w:ind w:firstLine="480" w:firstLineChars="200"/>
        <w:rPr>
          <w:rFonts w:ascii="宋体" w:hAnsi="Lucida Sans" w:cs="宋体"/>
          <w:kern w:val="0"/>
          <w:sz w:val="24"/>
        </w:rPr>
      </w:pPr>
      <w:r>
        <w:rPr>
          <w:rFonts w:hint="eastAsia" w:ascii="宋体" w:hAnsi="Lucida Sans" w:cs="宋体"/>
          <w:kern w:val="0"/>
          <w:sz w:val="24"/>
        </w:rPr>
        <w:t>2、本项目合同签署生效至印发大坝安全技术认定报告书，将分阶段支付合同款，具体分阶段付款比例为：</w:t>
      </w:r>
    </w:p>
    <w:p>
      <w:pPr>
        <w:jc w:val="left"/>
        <w:rPr>
          <w:rFonts w:hint="eastAsia" w:ascii="宋体" w:hAnsi="Lucida Sans" w:cs="宋体"/>
          <w:color w:val="auto"/>
          <w:kern w:val="0"/>
          <w:sz w:val="24"/>
        </w:rPr>
      </w:pPr>
      <w:r>
        <w:rPr>
          <w:rFonts w:hint="eastAsia" w:ascii="宋体" w:hAnsi="Lucida Sans" w:cs="宋体"/>
          <w:color w:val="auto"/>
          <w:kern w:val="0"/>
          <w:sz w:val="24"/>
        </w:rPr>
        <w:t>递交大坝安全技术认定综合评价报告后，支付至合同价款的</w:t>
      </w:r>
      <w:r>
        <w:rPr>
          <w:rFonts w:hint="eastAsia" w:ascii="宋体" w:hAnsi="Lucida Sans" w:cs="宋体"/>
          <w:color w:val="auto"/>
          <w:kern w:val="0"/>
          <w:sz w:val="24"/>
          <w:lang w:val="en-US" w:eastAsia="zh-CN"/>
        </w:rPr>
        <w:t>50</w:t>
      </w:r>
      <w:r>
        <w:rPr>
          <w:rFonts w:hint="eastAsia" w:ascii="宋体" w:hAnsi="Lucida Sans" w:cs="宋体"/>
          <w:color w:val="auto"/>
          <w:kern w:val="0"/>
          <w:sz w:val="24"/>
        </w:rPr>
        <w:t>%，余款作为保留金，待印发大坝（水闸）安全技术认定报告书</w:t>
      </w:r>
      <w:r>
        <w:rPr>
          <w:rFonts w:hint="eastAsia" w:ascii="宋体" w:hAnsi="Lucida Sans" w:cs="宋体"/>
          <w:color w:val="auto"/>
          <w:kern w:val="0"/>
          <w:sz w:val="24"/>
          <w:lang w:val="en-US" w:eastAsia="zh-CN"/>
        </w:rPr>
        <w:t>及上级资金到位</w:t>
      </w:r>
      <w:r>
        <w:rPr>
          <w:rFonts w:hint="eastAsia" w:ascii="宋体" w:hAnsi="Lucida Sans" w:cs="宋体"/>
          <w:color w:val="auto"/>
          <w:kern w:val="0"/>
          <w:sz w:val="24"/>
        </w:rPr>
        <w:t>后15天内一次性付清。</w:t>
      </w:r>
    </w:p>
    <w:p>
      <w:pPr>
        <w:pStyle w:val="3"/>
      </w:pPr>
    </w:p>
    <w:p>
      <w:pPr>
        <w:pStyle w:val="18"/>
      </w:pPr>
    </w:p>
    <w:p/>
    <w:p>
      <w:pPr>
        <w:pStyle w:val="3"/>
      </w:pPr>
    </w:p>
    <w:p>
      <w:pPr>
        <w:pStyle w:val="18"/>
      </w:pPr>
    </w:p>
    <w:p/>
    <w:p>
      <w:pPr>
        <w:pStyle w:val="3"/>
      </w:pPr>
    </w:p>
    <w:p>
      <w:pPr>
        <w:pStyle w:val="18"/>
      </w:pPr>
    </w:p>
    <w:p/>
    <w:p>
      <w:pPr>
        <w:pStyle w:val="3"/>
      </w:pPr>
    </w:p>
    <w:p>
      <w:pPr>
        <w:pStyle w:val="18"/>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3"/>
        <w:ind w:left="0" w:leftChars="0" w:firstLine="0" w:firstLineChars="0"/>
      </w:pPr>
    </w:p>
    <w:p/>
    <w:p>
      <w:pPr>
        <w:pStyle w:val="3"/>
      </w:pPr>
    </w:p>
    <w:p>
      <w:pPr>
        <w:spacing w:line="360" w:lineRule="auto"/>
        <w:jc w:val="center"/>
        <w:rPr>
          <w:rFonts w:asciiTheme="minorEastAsia" w:hAnsiTheme="minorEastAsia" w:eastAsiaTheme="minorEastAsia"/>
          <w:b/>
          <w:sz w:val="36"/>
          <w:szCs w:val="36"/>
        </w:rPr>
      </w:pPr>
      <w:bookmarkStart w:id="0" w:name="_Toc516238857"/>
      <w:r>
        <w:rPr>
          <w:rFonts w:hint="eastAsia" w:ascii="宋体" w:hAnsi="宋体"/>
          <w:b/>
          <w:color w:val="000000"/>
          <w:sz w:val="36"/>
          <w:szCs w:val="36"/>
        </w:rPr>
        <w:t xml:space="preserve">第四部分 </w:t>
      </w:r>
      <w:bookmarkEnd w:id="0"/>
      <w:r>
        <w:rPr>
          <w:rFonts w:hint="eastAsia" w:asciiTheme="minorEastAsia" w:hAnsiTheme="minorEastAsia" w:eastAsiaTheme="minorEastAsia"/>
          <w:b/>
          <w:sz w:val="36"/>
          <w:szCs w:val="36"/>
        </w:rPr>
        <w:t>拟签订的合同文件</w:t>
      </w:r>
    </w:p>
    <w:p>
      <w:pPr>
        <w:snapToGrid w:val="0"/>
        <w:spacing w:beforeLines="50" w:afterLines="50"/>
        <w:jc w:val="center"/>
        <w:rPr>
          <w:rFonts w:ascii="宋体" w:hAnsi="宋体"/>
          <w:sz w:val="24"/>
        </w:rPr>
      </w:pPr>
      <w:r>
        <w:rPr>
          <w:rFonts w:hint="eastAsia" w:ascii="宋体" w:hAnsi="宋体"/>
          <w:b/>
          <w:sz w:val="36"/>
          <w:szCs w:val="36"/>
        </w:rPr>
        <w:t>服务类</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1"/>
        <w:snapToGrid w:val="0"/>
        <w:spacing w:line="360" w:lineRule="auto"/>
        <w:rPr>
          <w:rFonts w:hAnsi="宋体"/>
          <w:sz w:val="24"/>
        </w:rPr>
      </w:pPr>
      <w:r>
        <w:rPr>
          <w:rFonts w:hAnsi="宋体"/>
          <w:sz w:val="24"/>
        </w:rPr>
        <w:t>项目名称：</w:t>
      </w:r>
      <w:r>
        <w:rPr>
          <w:rFonts w:hint="eastAsia" w:hAnsi="宋体"/>
          <w:sz w:val="24"/>
          <w:lang w:eastAsia="zh-CN"/>
        </w:rPr>
        <w:t>三门县健跳镇下叶水库安全鉴定项目</w:t>
      </w:r>
      <w:r>
        <w:rPr>
          <w:rFonts w:hAnsi="宋体"/>
          <w:sz w:val="24"/>
        </w:rPr>
        <w:t xml:space="preserve">                                项目编号：</w:t>
      </w:r>
      <w:r>
        <w:rPr>
          <w:rFonts w:hint="eastAsia" w:hAnsi="宋体"/>
          <w:sz w:val="24"/>
        </w:rPr>
        <w:t>守诚招备【2022】0</w:t>
      </w:r>
      <w:r>
        <w:rPr>
          <w:rFonts w:hint="eastAsia" w:hAnsi="宋体"/>
          <w:sz w:val="24"/>
          <w:lang w:val="en-US" w:eastAsia="zh-CN"/>
        </w:rPr>
        <w:t>28</w:t>
      </w:r>
      <w:r>
        <w:rPr>
          <w:rFonts w:hint="eastAsia" w:hAnsi="宋体"/>
          <w:sz w:val="24"/>
        </w:rPr>
        <w:t>号</w:t>
      </w:r>
    </w:p>
    <w:p>
      <w:pPr>
        <w:pStyle w:val="11"/>
        <w:snapToGrid w:val="0"/>
        <w:spacing w:line="360" w:lineRule="auto"/>
        <w:rPr>
          <w:rFonts w:hint="eastAsia" w:hAnsi="宋体"/>
          <w:sz w:val="24"/>
        </w:rPr>
      </w:pPr>
      <w:r>
        <w:rPr>
          <w:rFonts w:hAnsi="宋体"/>
          <w:sz w:val="24"/>
        </w:rPr>
        <w:t>甲方：</w:t>
      </w:r>
      <w:r>
        <w:rPr>
          <w:rFonts w:hint="eastAsia" w:hAnsi="宋体"/>
          <w:sz w:val="24"/>
          <w:lang w:eastAsia="zh-CN"/>
        </w:rPr>
        <w:t>三门县健跳镇人民政府</w:t>
      </w:r>
      <w:r>
        <w:rPr>
          <w:rFonts w:hAnsi="宋体"/>
          <w:sz w:val="24"/>
        </w:rPr>
        <w:t>（</w:t>
      </w:r>
      <w:r>
        <w:rPr>
          <w:rFonts w:hint="eastAsia" w:hAnsi="宋体"/>
          <w:sz w:val="24"/>
        </w:rPr>
        <w:t>采购单位</w:t>
      </w:r>
      <w:r>
        <w:rPr>
          <w:rFonts w:hAnsi="宋体"/>
          <w:sz w:val="24"/>
        </w:rPr>
        <w:t>）</w:t>
      </w:r>
      <w:r>
        <w:rPr>
          <w:rFonts w:hint="eastAsia" w:hAnsi="宋体"/>
          <w:sz w:val="24"/>
        </w:rPr>
        <w:t xml:space="preserve">     所在地：三门县湫水大道1号</w:t>
      </w:r>
    </w:p>
    <w:p>
      <w:pPr>
        <w:pStyle w:val="11"/>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1"/>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1"/>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1"/>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20"/>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1"/>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2"/>
        <w:ind w:firstLine="480" w:firstLineChars="200"/>
      </w:pPr>
      <w:r>
        <w:rPr>
          <w:rFonts w:hint="eastAsia" w:asciiTheme="minorEastAsia" w:hAnsiTheme="minorEastAsia" w:eastAsiaTheme="minorEastAsia"/>
        </w:rPr>
        <w:t>（二）若侵犯,由乙方赔偿甲方因此遭受的损失（包括但不限于应对及追偿过程中所支付的律师费、差旅费、诉讼费、保全费、鉴定费、评估费等）。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hint="eastAsia" w:ascii="宋体" w:hAnsi="宋体" w:cstheme="minorBidi"/>
          <w:sz w:val="24"/>
          <w:u w:val="single"/>
          <w:lang w:val="en-US" w:eastAsia="zh-CN"/>
        </w:rPr>
        <w:t>2</w:t>
      </w:r>
      <w:r>
        <w:rPr>
          <w:rFonts w:hint="eastAsia" w:ascii="宋体" w:hAnsi="宋体" w:cstheme="minorBidi"/>
          <w:sz w:val="24"/>
          <w:u w:val="single"/>
        </w:rPr>
        <w:t xml:space="preserve"> </w:t>
      </w:r>
      <w:r>
        <w:rPr>
          <w:rFonts w:hint="eastAsia" w:ascii="宋体" w:hAnsi="宋体" w:cstheme="minorBidi"/>
          <w:sz w:val="24"/>
        </w:rPr>
        <w:t>% 。</w:t>
      </w:r>
      <w:r>
        <w:rPr>
          <w:rFonts w:hint="eastAsia" w:ascii="宋体" w:hAnsi="宋体" w:cstheme="minorBidi"/>
          <w:sz w:val="24"/>
          <w:lang w:val="zh-CN"/>
        </w:rPr>
        <w:t>[履约保证金交至采购人处，并于合同到期后15天内退还供应商（无息退还）]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1"/>
        <w:snapToGrid w:val="0"/>
        <w:spacing w:line="360" w:lineRule="auto"/>
        <w:ind w:firstLine="482" w:firstLineChars="200"/>
        <w:rPr>
          <w:rFonts w:hAnsi="宋体"/>
          <w:sz w:val="24"/>
        </w:rPr>
      </w:pPr>
      <w:r>
        <w:rPr>
          <w:rFonts w:hint="eastAsia" w:hAnsi="宋体"/>
          <w:b/>
          <w:sz w:val="24"/>
        </w:rPr>
        <w:t>九</w:t>
      </w:r>
      <w:r>
        <w:rPr>
          <w:rFonts w:hAnsi="宋体"/>
          <w:b/>
          <w:sz w:val="24"/>
        </w:rPr>
        <w:t xml:space="preserve">、服务期 </w:t>
      </w:r>
    </w:p>
    <w:p>
      <w:pPr>
        <w:pStyle w:val="11"/>
        <w:snapToGrid w:val="0"/>
        <w:spacing w:line="360" w:lineRule="auto"/>
        <w:ind w:firstLine="480" w:firstLineChars="200"/>
        <w:rPr>
          <w:rFonts w:hint="eastAsia" w:hAnsi="宋体"/>
          <w:sz w:val="24"/>
        </w:rPr>
      </w:pPr>
      <w:r>
        <w:rPr>
          <w:rFonts w:hint="eastAsia" w:hAnsi="宋体"/>
          <w:sz w:val="24"/>
        </w:rPr>
        <w:t>中标人须在合同签订后60天内完成本项目并提交成果资料且通过有关验收。</w:t>
      </w:r>
    </w:p>
    <w:p>
      <w:pPr>
        <w:pStyle w:val="11"/>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1"/>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1"/>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1"/>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spacing w:line="312" w:lineRule="auto"/>
        <w:ind w:firstLine="480" w:firstLineChars="200"/>
        <w:rPr>
          <w:rFonts w:hint="eastAsia" w:ascii="宋体" w:hAnsi="宋体" w:cs="宋体"/>
          <w:bCs/>
          <w:color w:val="auto"/>
          <w:sz w:val="24"/>
        </w:rPr>
      </w:pPr>
      <w:r>
        <w:rPr>
          <w:rFonts w:hAnsi="宋体"/>
          <w:bCs/>
          <w:sz w:val="24"/>
        </w:rPr>
        <w:t xml:space="preserve"> 付款方式：</w:t>
      </w:r>
      <w:r>
        <w:rPr>
          <w:rFonts w:hint="eastAsia" w:ascii="宋体" w:hAnsi="宋体" w:cs="宋体"/>
          <w:bCs/>
          <w:color w:val="auto"/>
          <w:sz w:val="24"/>
        </w:rPr>
        <w:t>1、本工程采用总价承包，在合同实施期间费用不作调整。</w:t>
      </w:r>
    </w:p>
    <w:p>
      <w:pPr>
        <w:spacing w:line="312" w:lineRule="auto"/>
        <w:ind w:firstLine="480" w:firstLineChars="200"/>
        <w:rPr>
          <w:rFonts w:hint="eastAsia" w:ascii="宋体" w:hAnsi="宋体" w:cs="宋体"/>
          <w:bCs/>
          <w:color w:val="auto"/>
          <w:sz w:val="24"/>
        </w:rPr>
      </w:pPr>
      <w:r>
        <w:rPr>
          <w:rFonts w:hint="eastAsia" w:ascii="宋体" w:hAnsi="宋体" w:cs="宋体"/>
          <w:bCs/>
          <w:color w:val="auto"/>
          <w:sz w:val="24"/>
        </w:rPr>
        <w:t>2、本项目合同签署生效至印发大坝安全技术认定报告书，将分阶段支付合同款，具体分阶段付款比例为：</w:t>
      </w:r>
    </w:p>
    <w:p>
      <w:pPr>
        <w:spacing w:line="312" w:lineRule="auto"/>
        <w:ind w:firstLine="480" w:firstLineChars="200"/>
        <w:rPr>
          <w:rFonts w:hAnsi="宋体"/>
          <w:bCs/>
          <w:sz w:val="24"/>
        </w:rPr>
      </w:pPr>
      <w:r>
        <w:rPr>
          <w:rFonts w:hint="eastAsia" w:ascii="宋体" w:hAnsi="宋体" w:cs="宋体"/>
          <w:bCs/>
          <w:color w:val="auto"/>
          <w:sz w:val="24"/>
        </w:rPr>
        <w:t>递交大坝安全技术认定综合评价报告后，支付至合同价款的50%，余款作为保留金，待印发大坝（水闸）安全技术认定报告书及上级资金到位后15天内一次性付清。</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1"/>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乙方提供的服务成果在服务质量保证期内发生故障，乙方应负责免费提供后续服务。对达不到要求者，根据实际情况，经双方协商，可按以下办法处理：</w:t>
      </w:r>
    </w:p>
    <w:p>
      <w:pPr>
        <w:pStyle w:val="11"/>
        <w:snapToGrid w:val="0"/>
        <w:spacing w:line="360" w:lineRule="auto"/>
        <w:ind w:firstLine="480" w:firstLineChars="200"/>
        <w:rPr>
          <w:rFonts w:hAnsi="宋体"/>
          <w:sz w:val="24"/>
        </w:rPr>
      </w:pPr>
      <w:r>
        <w:rPr>
          <w:rFonts w:hint="eastAsia" w:hAnsi="宋体"/>
          <w:sz w:val="24"/>
        </w:rPr>
        <w:t>1.</w:t>
      </w:r>
      <w:r>
        <w:rPr>
          <w:rFonts w:hAnsi="宋体"/>
          <w:sz w:val="24"/>
        </w:rPr>
        <w:t>重做：由乙方承担所发生的全部费用。</w:t>
      </w:r>
    </w:p>
    <w:p>
      <w:pPr>
        <w:pStyle w:val="11"/>
        <w:snapToGrid w:val="0"/>
        <w:spacing w:line="360" w:lineRule="auto"/>
        <w:ind w:firstLine="480" w:firstLineChars="200"/>
        <w:rPr>
          <w:rFonts w:hAnsi="宋体"/>
          <w:sz w:val="24"/>
        </w:rPr>
      </w:pPr>
      <w:r>
        <w:rPr>
          <w:rFonts w:hint="eastAsia" w:hAnsi="宋体"/>
          <w:sz w:val="24"/>
        </w:rPr>
        <w:t>2.</w:t>
      </w:r>
      <w:r>
        <w:rPr>
          <w:rFonts w:hAnsi="宋体"/>
          <w:sz w:val="24"/>
        </w:rPr>
        <w:t>贬值处理：由甲乙双方合议定价。</w:t>
      </w:r>
    </w:p>
    <w:p>
      <w:pPr>
        <w:pStyle w:val="11"/>
        <w:snapToGrid w:val="0"/>
        <w:spacing w:line="360" w:lineRule="auto"/>
        <w:ind w:firstLine="480" w:firstLineChars="200"/>
      </w:pPr>
      <w:r>
        <w:rPr>
          <w:rFonts w:hint="eastAsia" w:hAnsi="宋体"/>
          <w:sz w:val="24"/>
        </w:rPr>
        <w:t>3.</w:t>
      </w:r>
      <w:r>
        <w:rPr>
          <w:rFonts w:hAnsi="宋体"/>
          <w:sz w:val="24"/>
        </w:rPr>
        <w:t>解除合同。</w:t>
      </w:r>
    </w:p>
    <w:p>
      <w:pPr>
        <w:spacing w:line="312" w:lineRule="auto"/>
        <w:ind w:firstLine="480" w:firstLineChars="200"/>
        <w:rPr>
          <w:rFonts w:ascii="宋体" w:hAnsi="宋体" w:cs="宋体"/>
          <w:b/>
          <w:sz w:val="24"/>
        </w:rPr>
      </w:pPr>
      <w:r>
        <w:rPr>
          <w:rFonts w:hint="eastAsia" w:hAnsi="宋体"/>
          <w:sz w:val="24"/>
        </w:rPr>
        <w:t>（三）</w:t>
      </w:r>
      <w:r>
        <w:rPr>
          <w:rFonts w:hint="eastAsia" w:ascii="宋体" w:hAnsi="宋体" w:cs="宋体"/>
          <w:b/>
          <w:sz w:val="24"/>
        </w:rPr>
        <w:t>质保期：</w:t>
      </w:r>
      <w:r>
        <w:rPr>
          <w:rFonts w:hint="eastAsia" w:ascii="宋体" w:hAnsi="宋体" w:cs="宋体"/>
          <w:bCs/>
          <w:color w:val="auto"/>
          <w:sz w:val="24"/>
        </w:rPr>
        <w:t>自验收合格之日起1年</w:t>
      </w:r>
      <w:r>
        <w:rPr>
          <w:rFonts w:hint="eastAsia" w:ascii="宋体" w:hAnsi="宋体" w:cs="宋体"/>
          <w:bCs/>
          <w:sz w:val="24"/>
        </w:rPr>
        <w:t>，</w:t>
      </w:r>
      <w:r>
        <w:rPr>
          <w:rFonts w:hint="eastAsia" w:ascii="宋体" w:hAnsi="宋体" w:cs="宋体"/>
          <w:sz w:val="24"/>
        </w:rPr>
        <w:t>投标人承诺超过本要求的，以优惠者为准。</w:t>
      </w:r>
    </w:p>
    <w:p>
      <w:pPr>
        <w:pStyle w:val="11"/>
        <w:snapToGrid w:val="0"/>
        <w:spacing w:line="360" w:lineRule="auto"/>
        <w:ind w:firstLine="480" w:firstLineChars="200"/>
        <w:rPr>
          <w:rFonts w:hAnsi="宋体"/>
          <w:sz w:val="24"/>
        </w:rPr>
      </w:pPr>
      <w:r>
        <w:rPr>
          <w:rFonts w:hAnsi="宋体"/>
          <w:sz w:val="24"/>
        </w:rPr>
        <w:t>如在使用过程中发生问题，乙方在接到甲方通知后在</w:t>
      </w:r>
      <w:r>
        <w:rPr>
          <w:rFonts w:hint="eastAsia" w:hAnsi="宋体"/>
          <w:color w:val="C00000"/>
          <w:sz w:val="24"/>
          <w:u w:val="single"/>
        </w:rPr>
        <w:t>24</w:t>
      </w:r>
      <w:r>
        <w:rPr>
          <w:rFonts w:hAnsi="宋体"/>
          <w:sz w:val="24"/>
        </w:rPr>
        <w:t>小时内到达甲方现场。</w:t>
      </w:r>
    </w:p>
    <w:p>
      <w:pPr>
        <w:pStyle w:val="11"/>
        <w:snapToGrid w:val="0"/>
        <w:spacing w:line="360" w:lineRule="auto"/>
        <w:ind w:firstLine="480" w:firstLineChars="200"/>
      </w:pPr>
      <w:r>
        <w:rPr>
          <w:rFonts w:hint="eastAsia" w:hAnsi="宋体"/>
          <w:sz w:val="24"/>
        </w:rPr>
        <w:t>（四）</w:t>
      </w:r>
      <w:r>
        <w:rPr>
          <w:rFonts w:hAnsi="宋体"/>
          <w:sz w:val="24"/>
        </w:rPr>
        <w:t>在</w:t>
      </w:r>
      <w:r>
        <w:rPr>
          <w:rFonts w:hAnsi="宋体"/>
          <w:b/>
          <w:sz w:val="24"/>
        </w:rPr>
        <w:t>服务质量保证期</w:t>
      </w:r>
      <w:r>
        <w:rPr>
          <w:rFonts w:hAnsi="宋体"/>
          <w:sz w:val="24"/>
        </w:rPr>
        <w:t>内，乙方应对出现的质量及安全问题负责处理解决并承担一切费用。</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w:t>
      </w:r>
      <w:r>
        <w:rPr>
          <w:rFonts w:hint="eastAsia" w:hAnsi="宋体"/>
          <w:sz w:val="24"/>
        </w:rPr>
        <w:t>乙方在签订合同后3天内进场，签订合同后10</w:t>
      </w:r>
      <w:r>
        <w:rPr>
          <w:rFonts w:hAnsi="宋体"/>
          <w:sz w:val="24"/>
        </w:rPr>
        <w:t>日</w:t>
      </w:r>
      <w:r>
        <w:rPr>
          <w:rFonts w:hint="eastAsia" w:hAnsi="宋体"/>
          <w:sz w:val="24"/>
        </w:rPr>
        <w:t>内仍</w:t>
      </w:r>
      <w:r>
        <w:rPr>
          <w:rFonts w:hAnsi="宋体"/>
          <w:sz w:val="24"/>
        </w:rPr>
        <w:t>不能</w:t>
      </w:r>
      <w:r>
        <w:rPr>
          <w:rFonts w:hint="eastAsia" w:hAnsi="宋体"/>
          <w:sz w:val="24"/>
        </w:rPr>
        <w:t>进场提供服务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的违约金，如造成甲方损失超过违约金的，超出部分由乙方继续承担赔偿责任。</w:t>
      </w:r>
    </w:p>
    <w:p>
      <w:pPr>
        <w:pStyle w:val="11"/>
        <w:snapToGrid w:val="0"/>
        <w:spacing w:line="360" w:lineRule="auto"/>
        <w:ind w:firstLine="480" w:firstLineChars="200"/>
        <w:rPr>
          <w:rFonts w:hAnsi="宋体"/>
          <w:sz w:val="24"/>
        </w:rPr>
      </w:pPr>
      <w:r>
        <w:rPr>
          <w:rFonts w:hint="eastAsia" w:hAnsi="宋体"/>
          <w:sz w:val="24"/>
          <w:lang w:eastAsia="zh-CN"/>
        </w:rPr>
        <w:t>（</w:t>
      </w:r>
      <w:r>
        <w:rPr>
          <w:rFonts w:hint="eastAsia" w:hAnsi="宋体"/>
          <w:sz w:val="24"/>
          <w:lang w:val="en-US" w:eastAsia="zh-CN"/>
        </w:rPr>
        <w:t>四）</w:t>
      </w:r>
      <w:r>
        <w:rPr>
          <w:rFonts w:hint="eastAsia" w:hAnsi="宋体"/>
          <w:sz w:val="24"/>
        </w:rPr>
        <w:t>乙方达不到项目要求，乙方应负责根据合同及甲方的要求采取相应的处理措施，并承担由此发生的一切损失和费用，整改延误的时间不作为整个项目工期延期的理由。</w:t>
      </w:r>
      <w:r>
        <w:rPr>
          <w:rFonts w:hAnsi="宋体"/>
          <w:sz w:val="24"/>
        </w:rPr>
        <w:t xml:space="preserve"> </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1"/>
        <w:snapToGrid w:val="0"/>
        <w:spacing w:line="360" w:lineRule="auto"/>
        <w:ind w:firstLine="480" w:firstLineChars="200"/>
        <w:rPr>
          <w:rFonts w:hAnsi="宋体" w:cs="宋体"/>
          <w:kern w:val="0"/>
          <w:sz w:val="24"/>
        </w:rPr>
      </w:pPr>
      <w:r>
        <w:rPr>
          <w:rFonts w:hAnsi="宋体" w:cs="宋体"/>
          <w:kern w:val="0"/>
          <w:sz w:val="24"/>
        </w:rPr>
        <w:t>如双方在履行合同时发生纠纷，应协商解决；协商不成时，可提请政府采购管理部门调解；调解不成的通过以下方式解决：</w:t>
      </w:r>
    </w:p>
    <w:p>
      <w:pPr>
        <w:pStyle w:val="11"/>
        <w:snapToGrid w:val="0"/>
        <w:spacing w:line="360" w:lineRule="auto"/>
        <w:ind w:firstLine="480" w:firstLineChars="200"/>
        <w:rPr>
          <w:rFonts w:hAnsi="宋体" w:cs="宋体"/>
          <w:kern w:val="0"/>
          <w:sz w:val="24"/>
        </w:rPr>
      </w:pPr>
      <w:r>
        <w:rPr>
          <w:rFonts w:hAnsi="宋体" w:cs="宋体"/>
          <w:kern w:val="0"/>
          <w:sz w:val="24"/>
        </w:rPr>
        <w:t>（</w:t>
      </w:r>
      <w:r>
        <w:rPr>
          <w:rFonts w:hint="eastAsia" w:hAnsi="宋体" w:cs="宋体"/>
          <w:kern w:val="0"/>
          <w:sz w:val="24"/>
        </w:rPr>
        <w:t>一</w:t>
      </w:r>
      <w:r>
        <w:rPr>
          <w:rFonts w:hAnsi="宋体" w:cs="宋体"/>
          <w:kern w:val="0"/>
          <w:sz w:val="24"/>
        </w:rPr>
        <w:t>）依法向</w:t>
      </w:r>
      <w:r>
        <w:rPr>
          <w:rFonts w:hint="eastAsia" w:hAnsi="宋体" w:cs="宋体"/>
          <w:kern w:val="0"/>
          <w:sz w:val="24"/>
          <w:lang w:val="en-US" w:eastAsia="zh-CN"/>
        </w:rPr>
        <w:t>三门县</w:t>
      </w:r>
      <w:r>
        <w:rPr>
          <w:rFonts w:hAnsi="宋体" w:cs="宋体"/>
          <w:kern w:val="0"/>
          <w:sz w:val="24"/>
        </w:rPr>
        <w:t>人民法院提起诉讼。</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1"/>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1"/>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本合同未尽事宜，遵照《合同法》有关条文执行。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甲方（公章）                                     乙方（公章）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Theme="minorEastAsia" w:hAnsiTheme="minorEastAsia" w:eastAsiaTheme="minorEastAsia"/>
          <w:b/>
          <w:sz w:val="36"/>
          <w:szCs w:val="36"/>
        </w:rPr>
      </w:pPr>
      <w:r>
        <w:rPr>
          <w:rFonts w:hint="eastAsia" w:ascii="宋体" w:hAnsi="宋体"/>
          <w:sz w:val="24"/>
        </w:rPr>
        <w:t>签订时间：    年   月    日</w:t>
      </w:r>
      <w:r>
        <w:rPr>
          <w:rFonts w:hint="eastAsia" w:asciiTheme="minorEastAsia" w:hAnsiTheme="minorEastAsia" w:eastAsiaTheme="minorEastAsia"/>
          <w:b/>
          <w:sz w:val="36"/>
          <w:szCs w:val="36"/>
        </w:rPr>
        <w:br w:type="page"/>
      </w:r>
    </w:p>
    <w:p>
      <w:pPr>
        <w:spacing w:line="360" w:lineRule="auto"/>
        <w:rPr>
          <w:rFonts w:asciiTheme="minorEastAsia" w:hAnsiTheme="minorEastAsia" w:eastAsiaTheme="minorEastAsia"/>
          <w:sz w:val="24"/>
        </w:rPr>
      </w:pPr>
    </w:p>
    <w:p>
      <w:pPr>
        <w:pStyle w:val="3"/>
        <w:ind w:firstLine="240"/>
        <w:rPr>
          <w:rFonts w:asciiTheme="minorEastAsia" w:hAnsiTheme="minorEastAsia" w:eastAsiaTheme="minorEastAsia"/>
        </w:rPr>
      </w:pPr>
    </w:p>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inorEastAsia" w:hAnsiTheme="minorEastAsia" w:eastAsiaTheme="minorEastAsia"/>
          <w:b/>
          <w:sz w:val="36"/>
          <w:szCs w:val="36"/>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r>
        <w:rPr>
          <w:rFonts w:hint="eastAsia" w:asciiTheme="minorEastAsia" w:hAnsiTheme="minorEastAsia" w:eastAsiaTheme="minorEastAsia"/>
          <w:b/>
          <w:sz w:val="36"/>
          <w:szCs w:val="36"/>
        </w:rPr>
        <w:br w:type="page"/>
      </w:r>
    </w:p>
    <w:p>
      <w:pPr>
        <w:spacing w:line="360" w:lineRule="auto"/>
        <w:jc w:val="center"/>
        <w:rPr>
          <w:rFonts w:asciiTheme="majorEastAsia" w:hAnsiTheme="majorEastAsia" w:eastAsiaTheme="majorEastAsia"/>
          <w:b/>
          <w:color w:val="000000" w:themeColor="text1"/>
          <w:sz w:val="36"/>
          <w14:textFill>
            <w14:solidFill>
              <w14:schemeClr w14:val="tx1"/>
            </w14:solidFill>
          </w14:textFill>
        </w:rPr>
      </w:pPr>
    </w:p>
    <w:p>
      <w:pPr>
        <w:spacing w:line="360" w:lineRule="auto"/>
        <w:jc w:val="center"/>
        <w:rPr>
          <w:rFonts w:ascii="宋体" w:hAnsi="宋体"/>
          <w:b/>
          <w:sz w:val="28"/>
        </w:rPr>
      </w:pPr>
      <w:r>
        <w:rPr>
          <w:rFonts w:hint="eastAsia" w:asciiTheme="majorEastAsia" w:hAnsiTheme="majorEastAsia" w:eastAsiaTheme="majorEastAsia"/>
          <w:b/>
          <w:color w:val="000000" w:themeColor="text1"/>
          <w:sz w:val="36"/>
          <w:szCs w:val="36"/>
          <w14:textFill>
            <w14:solidFill>
              <w14:schemeClr w14:val="tx1"/>
            </w14:solidFill>
          </w14:textFill>
        </w:rPr>
        <w:t>第五章谈判响应文件格式附件</w:t>
      </w:r>
    </w:p>
    <w:p>
      <w:pPr>
        <w:rPr>
          <w:rFonts w:ascii="宋体" w:hAnsi="宋体"/>
          <w:b/>
          <w:sz w:val="24"/>
        </w:rPr>
      </w:pPr>
      <w:r>
        <w:rPr>
          <w:rFonts w:hint="eastAsia" w:ascii="宋体" w:hAnsi="宋体"/>
          <w:b/>
          <w:kern w:val="0"/>
          <w:sz w:val="28"/>
          <w:szCs w:val="28"/>
        </w:rPr>
        <w:t>附件1                              　　　            本</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line="360" w:lineRule="auto"/>
        <w:ind w:right="-108"/>
        <w:jc w:val="center"/>
        <w:rPr>
          <w:rFonts w:ascii="宋体" w:hAnsi="宋体"/>
          <w:b/>
          <w:spacing w:val="40"/>
          <w:sz w:val="72"/>
          <w:szCs w:val="72"/>
        </w:rPr>
      </w:pPr>
      <w:r>
        <w:rPr>
          <w:rFonts w:hint="eastAsia" w:ascii="宋体" w:hAnsi="宋体"/>
          <w:b/>
          <w:spacing w:val="40"/>
          <w:sz w:val="72"/>
          <w:szCs w:val="72"/>
        </w:rPr>
        <w:t>件</w:t>
      </w:r>
    </w:p>
    <w:p>
      <w:pPr>
        <w:pStyle w:val="2"/>
        <w:spacing w:line="360" w:lineRule="auto"/>
        <w:jc w:val="center"/>
        <w:rPr>
          <w:rFonts w:ascii="宋体" w:hAnsi="宋体"/>
          <w:b/>
          <w:bCs/>
          <w:sz w:val="36"/>
          <w:szCs w:val="36"/>
        </w:rPr>
      </w:pPr>
      <w:r>
        <w:rPr>
          <w:rFonts w:hint="eastAsia" w:ascii="宋体" w:hAnsi="宋体"/>
          <w:b/>
          <w:bCs/>
          <w:sz w:val="36"/>
          <w:szCs w:val="36"/>
        </w:rPr>
        <w:t>（资格证明、商务技术）</w:t>
      </w:r>
    </w:p>
    <w:p>
      <w:pPr>
        <w:pStyle w:val="3"/>
        <w:ind w:firstLine="240"/>
      </w:pP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pStyle w:val="2"/>
      </w:pPr>
    </w:p>
    <w:p>
      <w:pPr>
        <w:pStyle w:val="3"/>
        <w:ind w:firstLine="240"/>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snapToGrid w:val="0"/>
        <w:spacing w:before="50" w:after="50"/>
        <w:rPr>
          <w:rFonts w:ascii="宋体" w:hAnsi="宋体"/>
          <w:b/>
          <w:bCs/>
          <w:sz w:val="32"/>
          <w:szCs w:val="32"/>
          <w:highlight w:val="green"/>
        </w:rPr>
      </w:pPr>
    </w:p>
    <w:p>
      <w:pPr>
        <w:snapToGrid w:val="0"/>
        <w:spacing w:before="50" w:after="50" w:line="360" w:lineRule="auto"/>
        <w:ind w:firstLine="422" w:firstLineChars="150"/>
        <w:rPr>
          <w:rFonts w:ascii="宋体" w:hAnsi="宋体" w:cs="宋体"/>
          <w:b/>
          <w:bCs/>
          <w:sz w:val="28"/>
          <w:szCs w:val="28"/>
        </w:rPr>
      </w:pPr>
      <w:r>
        <w:rPr>
          <w:rFonts w:hint="eastAsia" w:ascii="宋体" w:hAnsi="宋体" w:cs="宋体"/>
          <w:b/>
          <w:bCs/>
          <w:sz w:val="28"/>
          <w:szCs w:val="28"/>
        </w:rPr>
        <w:t>第一部分：资格证明部分</w:t>
      </w:r>
    </w:p>
    <w:p>
      <w:pPr>
        <w:numPr>
          <w:ilvl w:val="0"/>
          <w:numId w:val="5"/>
        </w:numPr>
        <w:snapToGrid w:val="0"/>
        <w:spacing w:line="360" w:lineRule="auto"/>
        <w:ind w:firstLine="470" w:firstLineChars="196"/>
        <w:rPr>
          <w:rFonts w:ascii="宋体" w:hAnsi="宋体" w:cs="宋体"/>
          <w:sz w:val="24"/>
        </w:rPr>
      </w:pPr>
      <w:r>
        <w:rPr>
          <w:rFonts w:hint="eastAsia" w:ascii="宋体" w:hAnsi="宋体" w:cs="宋体"/>
          <w:sz w:val="24"/>
        </w:rPr>
        <w:t>谈判声明书（附件2）</w:t>
      </w:r>
    </w:p>
    <w:p>
      <w:pPr>
        <w:numPr>
          <w:ilvl w:val="0"/>
          <w:numId w:val="5"/>
        </w:numPr>
        <w:snapToGrid w:val="0"/>
        <w:spacing w:line="360" w:lineRule="auto"/>
        <w:ind w:firstLine="470" w:firstLineChars="196"/>
        <w:rPr>
          <w:rFonts w:ascii="宋体" w:hAnsi="宋体" w:cs="宋体"/>
          <w:bCs/>
          <w:sz w:val="24"/>
        </w:rPr>
      </w:pPr>
      <w:r>
        <w:rPr>
          <w:rFonts w:hint="eastAsia" w:ascii="宋体" w:hAnsi="宋体" w:cs="宋体"/>
          <w:bCs/>
          <w:color w:val="000000"/>
          <w:sz w:val="24"/>
        </w:rPr>
        <w:t>授权委托书</w:t>
      </w:r>
      <w:r>
        <w:rPr>
          <w:rFonts w:hint="eastAsia" w:ascii="宋体" w:hAnsi="宋体" w:cs="宋体"/>
          <w:bCs/>
          <w:sz w:val="24"/>
        </w:rPr>
        <w:t>（附件3）</w:t>
      </w:r>
    </w:p>
    <w:p>
      <w:pPr>
        <w:snapToGrid w:val="0"/>
        <w:spacing w:line="360" w:lineRule="auto"/>
        <w:ind w:firstLine="470" w:firstLineChars="196"/>
        <w:rPr>
          <w:rFonts w:ascii="宋体" w:hAnsi="宋体"/>
          <w:kern w:val="0"/>
          <w:sz w:val="24"/>
        </w:rPr>
      </w:pPr>
      <w:r>
        <w:rPr>
          <w:rFonts w:hint="eastAsia" w:ascii="宋体" w:hAnsi="宋体"/>
          <w:sz w:val="24"/>
        </w:rPr>
        <w:t>3、</w:t>
      </w:r>
      <w:r>
        <w:rPr>
          <w:sz w:val="24"/>
        </w:rPr>
        <w:t>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kern w:val="0"/>
          <w:sz w:val="24"/>
        </w:rPr>
        <w:t>4、</w:t>
      </w:r>
      <w:r>
        <w:rPr>
          <w:sz w:val="24"/>
        </w:rPr>
        <w:t>具备履行合同所必需的设备和专业技术能力的证明材料</w:t>
      </w:r>
    </w:p>
    <w:p>
      <w:pPr>
        <w:snapToGrid w:val="0"/>
        <w:spacing w:line="360" w:lineRule="auto"/>
        <w:ind w:firstLine="470" w:firstLineChars="196"/>
        <w:rPr>
          <w:rFonts w:ascii="宋体" w:hAnsi="宋体" w:cs="宋体"/>
          <w:bCs/>
          <w:sz w:val="24"/>
        </w:rPr>
      </w:pPr>
      <w:r>
        <w:rPr>
          <w:rFonts w:hint="eastAsia" w:ascii="宋体" w:hAnsi="宋体"/>
          <w:sz w:val="24"/>
        </w:rPr>
        <w:t>5、</w:t>
      </w:r>
      <w:r>
        <w:rPr>
          <w:rFonts w:hint="eastAsia" w:ascii="宋体" w:hAnsi="宋体"/>
          <w:kern w:val="0"/>
          <w:sz w:val="24"/>
        </w:rPr>
        <w:t>本项目要求的特定资质证书</w:t>
      </w:r>
    </w:p>
    <w:p>
      <w:pPr>
        <w:snapToGrid w:val="0"/>
        <w:spacing w:before="50" w:after="50" w:line="360" w:lineRule="auto"/>
        <w:ind w:firstLine="422" w:firstLineChars="150"/>
        <w:rPr>
          <w:rFonts w:ascii="宋体" w:hAnsi="宋体" w:cs="宋体"/>
          <w:b/>
          <w:bCs/>
          <w:color w:val="000000"/>
          <w:sz w:val="32"/>
          <w:szCs w:val="32"/>
        </w:rPr>
      </w:pPr>
      <w:r>
        <w:rPr>
          <w:rFonts w:hint="eastAsia" w:ascii="宋体" w:hAnsi="宋体" w:cs="宋体"/>
          <w:b/>
          <w:bCs/>
          <w:color w:val="000000"/>
          <w:sz w:val="28"/>
          <w:szCs w:val="28"/>
          <w:lang w:val="zh-CN"/>
        </w:rPr>
        <w:t>第二部分：商务与技术</w:t>
      </w:r>
      <w:r>
        <w:rPr>
          <w:rFonts w:hint="eastAsia" w:ascii="宋体" w:hAnsi="宋体" w:cs="宋体"/>
          <w:b/>
          <w:bCs/>
          <w:sz w:val="28"/>
          <w:szCs w:val="28"/>
        </w:rPr>
        <w:t>部分</w:t>
      </w:r>
    </w:p>
    <w:p>
      <w:pPr>
        <w:spacing w:line="360" w:lineRule="auto"/>
        <w:ind w:right="-108" w:firstLine="360" w:firstLineChars="150"/>
        <w:rPr>
          <w:rFonts w:hint="eastAsia" w:ascii="宋体" w:hAnsi="宋体" w:cs="宋体"/>
          <w:sz w:val="24"/>
        </w:rPr>
      </w:pPr>
      <w:r>
        <w:rPr>
          <w:rFonts w:hint="eastAsia" w:ascii="宋体" w:hAnsi="宋体" w:cs="宋体"/>
          <w:sz w:val="24"/>
        </w:rPr>
        <w:t>1、供应商基本情况表（附件4）；</w:t>
      </w:r>
    </w:p>
    <w:p>
      <w:pPr>
        <w:spacing w:line="360" w:lineRule="auto"/>
        <w:ind w:right="-108" w:firstLine="360" w:firstLineChars="150"/>
        <w:rPr>
          <w:rFonts w:hint="eastAsia" w:ascii="宋体" w:hAnsi="宋体" w:cs="宋体"/>
          <w:sz w:val="24"/>
        </w:rPr>
      </w:pPr>
      <w:r>
        <w:rPr>
          <w:rFonts w:hint="eastAsia" w:ascii="宋体" w:hAnsi="宋体" w:cs="宋体"/>
          <w:sz w:val="24"/>
        </w:rPr>
        <w:t>2、团队组成人员基本情况表（附件5）；</w:t>
      </w:r>
    </w:p>
    <w:p>
      <w:pPr>
        <w:spacing w:line="360" w:lineRule="auto"/>
        <w:ind w:right="-108" w:firstLine="360" w:firstLineChars="150"/>
        <w:rPr>
          <w:rFonts w:hint="eastAsia" w:ascii="宋体" w:hAnsi="宋体" w:cs="宋体"/>
          <w:sz w:val="24"/>
        </w:rPr>
      </w:pPr>
      <w:r>
        <w:rPr>
          <w:rFonts w:hint="eastAsia" w:ascii="宋体" w:hAnsi="宋体" w:cs="宋体"/>
          <w:sz w:val="24"/>
        </w:rPr>
        <w:t>3、类似项目业绩一览表（附件6）；</w:t>
      </w:r>
    </w:p>
    <w:p>
      <w:pPr>
        <w:spacing w:line="360" w:lineRule="auto"/>
        <w:ind w:right="-108" w:firstLine="360" w:firstLineChars="150"/>
        <w:rPr>
          <w:rFonts w:hint="eastAsia" w:ascii="宋体" w:hAnsi="宋体" w:cs="宋体"/>
          <w:sz w:val="24"/>
        </w:rPr>
      </w:pPr>
      <w:r>
        <w:rPr>
          <w:rFonts w:hint="eastAsia" w:ascii="宋体" w:hAnsi="宋体" w:cs="宋体"/>
          <w:sz w:val="24"/>
        </w:rPr>
        <w:t xml:space="preserve">4、项目实施方案(附件7）；  </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第三部分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pPr>
        <w:pStyle w:val="2"/>
      </w:pPr>
    </w:p>
    <w:p/>
    <w:p>
      <w:pPr>
        <w:pStyle w:val="2"/>
      </w:pPr>
    </w:p>
    <w:p>
      <w:pPr>
        <w:pStyle w:val="3"/>
        <w:ind w:firstLine="240"/>
      </w:pPr>
    </w:p>
    <w:p/>
    <w:p>
      <w:pPr>
        <w:pStyle w:val="2"/>
      </w:pPr>
    </w:p>
    <w:p>
      <w:pPr>
        <w:pStyle w:val="3"/>
        <w:ind w:firstLine="240"/>
      </w:pPr>
    </w:p>
    <w:p/>
    <w:p>
      <w:pPr>
        <w:pStyle w:val="2"/>
      </w:pPr>
    </w:p>
    <w:p/>
    <w:p>
      <w:pPr>
        <w:pStyle w:val="2"/>
      </w:pPr>
    </w:p>
    <w:p>
      <w:pPr>
        <w:pStyle w:val="3"/>
        <w:ind w:firstLine="240"/>
      </w:pPr>
    </w:p>
    <w:p/>
    <w:p>
      <w:pPr>
        <w:pStyle w:val="2"/>
      </w:pPr>
    </w:p>
    <w:p/>
    <w:p>
      <w:pPr>
        <w:spacing w:line="360" w:lineRule="auto"/>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谈判声明书</w:t>
      </w:r>
    </w:p>
    <w:p>
      <w:pPr>
        <w:snapToGrid w:val="0"/>
        <w:spacing w:beforeLines="50" w:after="50" w:line="324" w:lineRule="auto"/>
        <w:rPr>
          <w:rFonts w:ascii="宋体" w:hAnsi="宋体" w:cs="宋体"/>
          <w:kern w:val="0"/>
          <w:sz w:val="24"/>
        </w:rPr>
      </w:pPr>
      <w:r>
        <w:rPr>
          <w:rFonts w:hint="eastAsia" w:ascii="宋体" w:hAnsi="宋体" w:cs="宋体"/>
          <w:kern w:val="0"/>
          <w:sz w:val="24"/>
        </w:rPr>
        <w:t>×××（采购代理机构名称）：</w:t>
      </w:r>
    </w:p>
    <w:p>
      <w:p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竞争性谈判项目名称</w:t>
      </w:r>
      <w:r>
        <w:rPr>
          <w:rFonts w:hint="eastAsia" w:ascii="宋体" w:hAnsi="宋体" w:cs="宋体"/>
          <w:kern w:val="0"/>
          <w:sz w:val="24"/>
        </w:rPr>
        <w:t>）（编号为××）的谈判，为此，我公司就本次谈判有关事项郑重声明如下：</w:t>
      </w:r>
    </w:p>
    <w:p>
      <w:pPr>
        <w:numPr>
          <w:ilvl w:val="0"/>
          <w:numId w:val="6"/>
        </w:numPr>
        <w:snapToGrid w:val="0"/>
        <w:spacing w:beforeLines="50" w:after="50" w:line="324" w:lineRule="auto"/>
        <w:ind w:firstLine="480" w:firstLineChars="200"/>
        <w:rPr>
          <w:rFonts w:ascii="宋体" w:hAnsi="宋体" w:cs="宋体"/>
          <w:b/>
          <w:kern w:val="0"/>
          <w:sz w:val="24"/>
        </w:rPr>
      </w:pPr>
      <w:r>
        <w:rPr>
          <w:rFonts w:hint="eastAsia" w:ascii="Arial" w:hAnsi="Arial" w:cs="Arial"/>
          <w:sz w:val="24"/>
        </w:rPr>
        <w:t>我公司声明截止谈判响应时间近三年以来：在参加政府采购活动过程中无任何不良行为记录；无重大违法记录（重大违法记录是指供应商因违法经营</w:t>
      </w:r>
      <w:r>
        <w:rPr>
          <w:rFonts w:hint="eastAsia" w:ascii="Arial" w:hAnsi="Arial" w:cs="Arial"/>
          <w:color w:val="000000"/>
          <w:sz w:val="24"/>
        </w:rPr>
        <w:t>受到刑事处罚或者责令停产停业、吊销许可证或者执照、较大数额罚款等行政处罚）。</w:t>
      </w:r>
    </w:p>
    <w:p>
      <w:pPr>
        <w:numPr>
          <w:ilvl w:val="0"/>
          <w:numId w:val="6"/>
        </w:num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谈判响应</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谈判</w:t>
      </w:r>
      <w:r>
        <w:rPr>
          <w:rFonts w:ascii="宋体" w:hAnsi="宋体" w:cs="宋体"/>
          <w:kern w:val="0"/>
          <w:sz w:val="24"/>
        </w:rPr>
        <w:t>文件和所有相关资料，我方完全明白并认为此</w:t>
      </w:r>
      <w:r>
        <w:rPr>
          <w:rFonts w:hint="eastAsia" w:ascii="宋体" w:hAnsi="宋体" w:cs="宋体"/>
          <w:kern w:val="0"/>
          <w:sz w:val="24"/>
        </w:rPr>
        <w:t>谈判采购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谈判采购</w:t>
      </w:r>
      <w:r>
        <w:rPr>
          <w:rFonts w:ascii="宋体" w:hAnsi="宋体" w:cs="宋体"/>
          <w:kern w:val="0"/>
          <w:sz w:val="24"/>
        </w:rPr>
        <w:t>文件的相关条款，放弃对</w:t>
      </w:r>
      <w:r>
        <w:rPr>
          <w:rFonts w:hint="eastAsia" w:ascii="宋体" w:hAnsi="宋体" w:cs="宋体"/>
          <w:kern w:val="0"/>
          <w:sz w:val="24"/>
        </w:rPr>
        <w:t>谈判采购</w:t>
      </w:r>
      <w:r>
        <w:rPr>
          <w:rFonts w:ascii="宋体" w:hAnsi="宋体" w:cs="宋体"/>
          <w:kern w:val="0"/>
          <w:sz w:val="24"/>
        </w:rPr>
        <w:t>文件提出误解和质疑的一切权</w:t>
      </w:r>
      <w:r>
        <w:rPr>
          <w:rFonts w:hint="eastAsia" w:ascii="宋体" w:hAnsi="宋体" w:cs="宋体"/>
          <w:kern w:val="0"/>
          <w:sz w:val="24"/>
        </w:rPr>
        <w:t>利。</w:t>
      </w:r>
    </w:p>
    <w:p>
      <w:pPr>
        <w:numPr>
          <w:ilvl w:val="255"/>
          <w:numId w:val="0"/>
        </w:numPr>
        <w:snapToGrid w:val="0"/>
        <w:spacing w:beforeLines="50" w:after="50" w:line="324"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Lines="50" w:after="50" w:line="324"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公司谈判响应的</w:t>
      </w:r>
      <w:r>
        <w:rPr>
          <w:rFonts w:hint="eastAsia" w:ascii="宋体" w:hAnsi="宋体"/>
          <w:kern w:val="0"/>
          <w:sz w:val="24"/>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我方的总</w:t>
      </w:r>
      <w:r>
        <w:rPr>
          <w:rFonts w:hint="eastAsia" w:ascii="宋体" w:hAnsi="宋体"/>
          <w:kern w:val="0"/>
          <w:sz w:val="24"/>
          <w:lang w:val="af-ZA"/>
        </w:rPr>
        <w:t>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Lines="50" w:after="50" w:line="324"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Lines="50" w:after="50" w:line="324"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24"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24"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24" w:lineRule="auto"/>
        <w:ind w:right="480"/>
        <w:jc w:val="center"/>
        <w:rPr>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ascii="宋体"/>
          <w:b/>
          <w:color w:val="FF0000"/>
          <w:sz w:val="30"/>
          <w:szCs w:val="30"/>
        </w:rPr>
      </w:pPr>
      <w:r>
        <w:rPr>
          <w:rFonts w:hint="eastAsia" w:ascii="宋体" w:hAnsi="宋体"/>
          <w:b/>
          <w:sz w:val="28"/>
        </w:rPr>
        <w:t>附件3</w:t>
      </w:r>
    </w:p>
    <w:p>
      <w:pPr>
        <w:spacing w:line="360" w:lineRule="auto"/>
        <w:ind w:firstLine="321" w:firstLineChars="100"/>
        <w:jc w:val="center"/>
        <w:rPr>
          <w:rFonts w:ascii="Calibri" w:hAnsi="Calibri"/>
          <w:b/>
          <w:color w:val="000000"/>
          <w:sz w:val="32"/>
          <w:szCs w:val="32"/>
          <w:lang w:val="zh-CN"/>
        </w:rPr>
      </w:pPr>
      <w:r>
        <w:rPr>
          <w:rFonts w:hint="eastAsia" w:ascii="Calibri" w:hAnsi="Calibri"/>
          <w:b/>
          <w:color w:val="000000"/>
          <w:sz w:val="32"/>
          <w:szCs w:val="32"/>
          <w:lang w:val="zh-CN"/>
        </w:rPr>
        <w:t>授权委托书</w:t>
      </w:r>
    </w:p>
    <w:p>
      <w:pPr>
        <w:pStyle w:val="11"/>
        <w:spacing w:line="500" w:lineRule="exact"/>
        <w:rPr>
          <w:rFonts w:hAnsi="宋体"/>
          <w:b/>
          <w:sz w:val="24"/>
        </w:rPr>
      </w:pPr>
      <w:r>
        <w:rPr>
          <w:rFonts w:hint="eastAsia" w:hAnsi="宋体"/>
          <w:b/>
          <w:sz w:val="24"/>
        </w:rPr>
        <w:t>×××</w:t>
      </w:r>
      <w:r>
        <w:rPr>
          <w:rFonts w:hint="eastAsia" w:hAnsi="宋体" w:cs="宋体"/>
          <w:kern w:val="0"/>
          <w:sz w:val="24"/>
        </w:rPr>
        <w:t>（采购代理机构名称）</w:t>
      </w:r>
      <w:r>
        <w:rPr>
          <w:rFonts w:hAnsi="宋体"/>
          <w:b/>
          <w:sz w:val="24"/>
        </w:rPr>
        <w:t>：</w:t>
      </w:r>
    </w:p>
    <w:p>
      <w:pPr>
        <w:pStyle w:val="11"/>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供应商全称（公章）：                              日期：</w:t>
      </w:r>
    </w:p>
    <w:p>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pStyle w:val="34"/>
        <w:shd w:val="clear" w:color="auto" w:fill="FFFFFF"/>
        <w:spacing w:before="0" w:beforeAutospacing="0" w:after="0" w:afterAutospacing="0" w:line="360" w:lineRule="auto"/>
        <w:rPr>
          <w:b/>
          <w:color w:val="000000"/>
          <w:sz w:val="28"/>
        </w:rPr>
      </w:pPr>
    </w:p>
    <w:p>
      <w:pPr>
        <w:pStyle w:val="34"/>
        <w:shd w:val="clear" w:color="auto" w:fill="FFFFFF"/>
        <w:spacing w:before="0" w:beforeAutospacing="0" w:after="0" w:afterAutospacing="0" w:line="360" w:lineRule="auto"/>
        <w:rPr>
          <w:b/>
          <w:color w:val="000000"/>
          <w:sz w:val="28"/>
        </w:rPr>
      </w:pPr>
      <w:r>
        <w:rPr>
          <w:rFonts w:hint="eastAsia"/>
          <w:b/>
          <w:color w:val="000000"/>
          <w:sz w:val="28"/>
        </w:rPr>
        <w:t xml:space="preserve">附件4：       </w:t>
      </w:r>
    </w:p>
    <w:p>
      <w:pPr>
        <w:autoSpaceDE w:val="0"/>
        <w:autoSpaceDN w:val="0"/>
        <w:adjustRightInd w:val="0"/>
        <w:spacing w:line="400" w:lineRule="exact"/>
        <w:jc w:val="center"/>
        <w:rPr>
          <w:rFonts w:ascii="黑体" w:eastAsia="黑体"/>
          <w:bCs/>
          <w:sz w:val="30"/>
          <w:szCs w:val="30"/>
          <w:lang w:val="zh-CN"/>
        </w:rPr>
      </w:pPr>
      <w:r>
        <w:rPr>
          <w:rFonts w:hint="eastAsia" w:ascii="黑体" w:eastAsia="黑体"/>
          <w:bCs/>
          <w:sz w:val="30"/>
          <w:szCs w:val="30"/>
          <w:lang w:val="zh-CN"/>
        </w:rPr>
        <w:t>供应商综合情况一览表</w:t>
      </w:r>
    </w:p>
    <w:p>
      <w:pPr>
        <w:autoSpaceDE w:val="0"/>
        <w:autoSpaceDN w:val="0"/>
        <w:adjustRightInd w:val="0"/>
        <w:spacing w:line="400" w:lineRule="exact"/>
        <w:jc w:val="center"/>
        <w:rPr>
          <w:bCs/>
          <w:sz w:val="24"/>
          <w:lang w:val="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29"/>
        <w:gridCol w:w="153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单位名称</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法人代表</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单位性质</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资质等级</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注册资金</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单位组建时间</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单位地址</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主要联系人</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开户银行</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邮      编</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经营范围</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电      话</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9" w:hRule="atLeast"/>
        </w:trPr>
        <w:tc>
          <w:tcPr>
            <w:tcW w:w="12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rPr>
            </w:pPr>
            <w:r>
              <w:rPr>
                <w:rFonts w:hint="eastAsia" w:hAnsi="宋体"/>
                <w:sz w:val="24"/>
              </w:rPr>
              <w:t>单位人</w:t>
            </w:r>
          </w:p>
          <w:p>
            <w:pPr>
              <w:autoSpaceDE w:val="0"/>
              <w:autoSpaceDN w:val="0"/>
              <w:adjustRightInd w:val="0"/>
              <w:spacing w:line="400" w:lineRule="exact"/>
              <w:rPr>
                <w:rFonts w:hAnsi="宋体"/>
                <w:sz w:val="24"/>
                <w:highlight w:val="green"/>
              </w:rPr>
            </w:pPr>
            <w:r>
              <w:rPr>
                <w:rFonts w:hint="eastAsia" w:hAnsi="宋体"/>
                <w:sz w:val="24"/>
              </w:rPr>
              <w:t>员状况</w:t>
            </w:r>
          </w:p>
        </w:tc>
        <w:tc>
          <w:tcPr>
            <w:tcW w:w="342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单位总人数           人；</w:t>
            </w:r>
          </w:p>
          <w:p>
            <w:pPr>
              <w:autoSpaceDE w:val="0"/>
              <w:autoSpaceDN w:val="0"/>
              <w:adjustRightInd w:val="0"/>
              <w:spacing w:line="400" w:lineRule="exact"/>
              <w:rPr>
                <w:rFonts w:hAnsi="宋体"/>
                <w:sz w:val="24"/>
              </w:rPr>
            </w:pPr>
            <w:r>
              <w:rPr>
                <w:rFonts w:hint="eastAsia" w:hAnsi="宋体"/>
                <w:sz w:val="24"/>
              </w:rPr>
              <w:t>在册项目技术人员     人；</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highlight w:val="green"/>
              </w:rPr>
            </w:pPr>
          </w:p>
        </w:tc>
        <w:tc>
          <w:tcPr>
            <w:tcW w:w="4509" w:type="dxa"/>
            <w:gridSpan w:val="2"/>
            <w:tcBorders>
              <w:top w:val="single" w:color="auto" w:sz="4" w:space="0"/>
              <w:left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单位固定资产总额          万元；</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rPr>
            </w:pPr>
            <w:r>
              <w:rPr>
                <w:rFonts w:hint="eastAsia" w:hAnsi="宋体"/>
                <w:sz w:val="24"/>
              </w:rPr>
              <w:t>设备总数                    台；</w:t>
            </w:r>
          </w:p>
          <w:p>
            <w:pPr>
              <w:autoSpaceDE w:val="0"/>
              <w:autoSpaceDN w:val="0"/>
              <w:adjustRightInd w:val="0"/>
              <w:spacing w:line="400" w:lineRule="exact"/>
              <w:rPr>
                <w:rFonts w:hAnsi="宋体"/>
                <w:sz w:val="24"/>
                <w:highlight w:val="green"/>
              </w:rPr>
            </w:pPr>
          </w:p>
        </w:tc>
      </w:tr>
    </w:tbl>
    <w:p>
      <w:pPr>
        <w:spacing w:line="500" w:lineRule="exact"/>
        <w:jc w:val="left"/>
        <w:rPr>
          <w:rFonts w:ascii="宋体" w:hAnsi="宋体"/>
          <w:sz w:val="24"/>
        </w:rPr>
      </w:pPr>
    </w:p>
    <w:p>
      <w:pPr>
        <w:spacing w:line="500" w:lineRule="exact"/>
        <w:jc w:val="left"/>
        <w:rPr>
          <w:rFonts w:ascii="宋体" w:hAnsi="宋体"/>
          <w:sz w:val="24"/>
        </w:rPr>
      </w:pPr>
    </w:p>
    <w:p>
      <w:pPr>
        <w:spacing w:line="500" w:lineRule="exact"/>
        <w:ind w:firstLine="4080" w:firstLineChars="1700"/>
        <w:jc w:val="left"/>
        <w:rPr>
          <w:rFonts w:ascii="宋体"/>
          <w:sz w:val="24"/>
        </w:rPr>
      </w:pPr>
      <w:r>
        <w:rPr>
          <w:rFonts w:hint="eastAsia" w:ascii="宋体" w:hAnsi="宋体"/>
          <w:sz w:val="24"/>
        </w:rPr>
        <w:t>投 标 人：（盖章）</w:t>
      </w:r>
    </w:p>
    <w:p>
      <w:pPr>
        <w:spacing w:line="500" w:lineRule="exact"/>
        <w:rPr>
          <w:rFonts w:ascii="宋体"/>
          <w:sz w:val="24"/>
        </w:rPr>
      </w:pPr>
    </w:p>
    <w:p>
      <w:pPr>
        <w:spacing w:line="500" w:lineRule="exact"/>
        <w:rPr>
          <w:rFonts w:ascii="宋体"/>
          <w:sz w:val="24"/>
        </w:rPr>
      </w:pPr>
      <w:r>
        <w:rPr>
          <w:rFonts w:hint="eastAsia" w:ascii="宋体" w:hAnsi="宋体" w:cs="宋体"/>
          <w:kern w:val="0"/>
          <w:sz w:val="24"/>
        </w:rPr>
        <w:t xml:space="preserve">                                    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 xml:space="preserve">人：（签字） </w:t>
      </w:r>
    </w:p>
    <w:p>
      <w:pPr>
        <w:spacing w:line="500" w:lineRule="exact"/>
        <w:ind w:firstLine="5760" w:firstLineChars="2400"/>
        <w:rPr>
          <w:rFonts w:ascii="宋体" w:hAnsi="宋体"/>
          <w:sz w:val="24"/>
        </w:rPr>
      </w:pPr>
    </w:p>
    <w:p>
      <w:pPr>
        <w:spacing w:line="500" w:lineRule="exact"/>
        <w:jc w:val="right"/>
        <w:rPr>
          <w:rFonts w:ascii="宋体" w:cs="宋体"/>
          <w:sz w:val="24"/>
          <w:lang w:val="zh-CN"/>
        </w:rPr>
      </w:pPr>
      <w:r>
        <w:rPr>
          <w:rFonts w:hint="eastAsia" w:ascii="宋体" w:hAnsi="宋体"/>
          <w:sz w:val="24"/>
        </w:rPr>
        <w:t xml:space="preserve">         年月日</w:t>
      </w: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both"/>
        <w:rPr>
          <w:rFonts w:ascii="仿宋_GB2312" w:hAnsi="仿宋_GB2312" w:eastAsia="仿宋_GB2312" w:cs="仿宋_GB2312"/>
          <w:color w:val="000000"/>
          <w:shd w:val="clear" w:color="FFFFFF" w:fill="D9D9D9"/>
        </w:rPr>
      </w:pPr>
    </w:p>
    <w:p>
      <w:pPr>
        <w:snapToGrid w:val="0"/>
        <w:spacing w:before="50" w:after="50" w:line="360" w:lineRule="auto"/>
        <w:rPr>
          <w:rFonts w:ascii="宋体" w:hAnsi="宋体"/>
          <w:b/>
          <w:color w:val="000000"/>
          <w:sz w:val="32"/>
          <w:szCs w:val="32"/>
        </w:rPr>
      </w:pPr>
      <w:r>
        <w:rPr>
          <w:rFonts w:hint="eastAsia" w:ascii="宋体" w:hAnsi="宋体"/>
          <w:b/>
          <w:color w:val="000000"/>
          <w:sz w:val="28"/>
        </w:rPr>
        <w:t>附件5：</w:t>
      </w:r>
    </w:p>
    <w:p>
      <w:pPr>
        <w:spacing w:line="500" w:lineRule="exact"/>
        <w:ind w:firstLine="1687" w:firstLineChars="700"/>
        <w:jc w:val="center"/>
        <w:rPr>
          <w:rFonts w:ascii="宋体" w:hAnsi="宋体" w:cs="宋体"/>
          <w:b/>
          <w:sz w:val="24"/>
        </w:rPr>
      </w:pPr>
      <w:r>
        <w:rPr>
          <w:rFonts w:hint="eastAsia" w:ascii="宋体" w:hAnsi="宋体" w:cs="宋体"/>
          <w:b/>
          <w:sz w:val="24"/>
        </w:rPr>
        <w:t>团队组成人员基本情况表</w:t>
      </w:r>
    </w:p>
    <w:p>
      <w:pPr>
        <w:jc w:val="center"/>
        <w:rPr>
          <w:b/>
        </w:rPr>
      </w:pPr>
    </w:p>
    <w:p>
      <w:pPr>
        <w:jc w:val="center"/>
        <w:rPr>
          <w:b/>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0"/>
        <w:gridCol w:w="1659"/>
        <w:gridCol w:w="1349"/>
        <w:gridCol w:w="234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4" w:hRule="atLeast"/>
        </w:trPr>
        <w:tc>
          <w:tcPr>
            <w:tcW w:w="2140" w:type="dxa"/>
            <w:tcBorders>
              <w:top w:val="single" w:color="auto" w:sz="12" w:space="0"/>
              <w:left w:val="single" w:color="auto" w:sz="12" w:space="0"/>
              <w:bottom w:val="single" w:color="auto" w:sz="6" w:space="0"/>
              <w:right w:val="single" w:color="auto" w:sz="6" w:space="0"/>
            </w:tcBorders>
            <w:vAlign w:val="center"/>
          </w:tcPr>
          <w:p>
            <w:pPr>
              <w:jc w:val="center"/>
              <w:rPr>
                <w:sz w:val="24"/>
              </w:rPr>
            </w:pPr>
            <w:r>
              <w:rPr>
                <w:rFonts w:hint="eastAsia"/>
                <w:sz w:val="24"/>
              </w:rPr>
              <w:t>人员安排</w:t>
            </w:r>
          </w:p>
        </w:tc>
        <w:tc>
          <w:tcPr>
            <w:tcW w:w="1659" w:type="dxa"/>
            <w:tcBorders>
              <w:top w:val="single" w:color="auto" w:sz="12" w:space="0"/>
              <w:left w:val="single" w:color="auto" w:sz="6" w:space="0"/>
              <w:bottom w:val="single" w:color="auto" w:sz="6" w:space="0"/>
              <w:right w:val="single" w:color="auto" w:sz="6" w:space="0"/>
            </w:tcBorders>
            <w:vAlign w:val="center"/>
          </w:tcPr>
          <w:p>
            <w:pPr>
              <w:jc w:val="center"/>
              <w:rPr>
                <w:sz w:val="24"/>
              </w:rPr>
            </w:pPr>
            <w:r>
              <w:rPr>
                <w:rFonts w:hint="eastAsia"/>
                <w:sz w:val="24"/>
              </w:rPr>
              <w:t>姓名</w:t>
            </w:r>
          </w:p>
        </w:tc>
        <w:tc>
          <w:tcPr>
            <w:tcW w:w="1349" w:type="dxa"/>
            <w:tcBorders>
              <w:top w:val="single" w:color="auto" w:sz="12" w:space="0"/>
              <w:left w:val="single" w:color="auto" w:sz="6" w:space="0"/>
              <w:bottom w:val="single" w:color="auto" w:sz="6" w:space="0"/>
              <w:right w:val="single" w:color="auto" w:sz="4" w:space="0"/>
            </w:tcBorders>
            <w:vAlign w:val="center"/>
          </w:tcPr>
          <w:p>
            <w:pPr>
              <w:jc w:val="center"/>
              <w:rPr>
                <w:sz w:val="24"/>
              </w:rPr>
            </w:pPr>
            <w:r>
              <w:rPr>
                <w:rFonts w:hint="eastAsia"/>
                <w:sz w:val="24"/>
              </w:rPr>
              <w:t>性别</w:t>
            </w:r>
          </w:p>
        </w:tc>
        <w:tc>
          <w:tcPr>
            <w:tcW w:w="2340" w:type="dxa"/>
            <w:tcBorders>
              <w:top w:val="single" w:color="auto" w:sz="12" w:space="0"/>
              <w:left w:val="single" w:color="auto" w:sz="4" w:space="0"/>
              <w:bottom w:val="single" w:color="auto" w:sz="6" w:space="0"/>
              <w:right w:val="single" w:color="auto" w:sz="4" w:space="0"/>
            </w:tcBorders>
            <w:vAlign w:val="center"/>
          </w:tcPr>
          <w:p>
            <w:pPr>
              <w:jc w:val="center"/>
              <w:rPr>
                <w:sz w:val="24"/>
              </w:rPr>
            </w:pPr>
            <w:r>
              <w:rPr>
                <w:rFonts w:hint="eastAsia"/>
                <w:sz w:val="24"/>
              </w:rPr>
              <w:t>所学专业</w:t>
            </w:r>
          </w:p>
        </w:tc>
        <w:tc>
          <w:tcPr>
            <w:tcW w:w="1980" w:type="dxa"/>
            <w:tcBorders>
              <w:top w:val="single" w:color="auto" w:sz="12" w:space="0"/>
              <w:left w:val="single" w:color="auto" w:sz="4" w:space="0"/>
              <w:bottom w:val="single" w:color="auto" w:sz="6" w:space="0"/>
              <w:right w:val="single" w:color="auto" w:sz="12" w:space="0"/>
            </w:tcBorders>
            <w:vAlign w:val="center"/>
          </w:tcPr>
          <w:p>
            <w:pPr>
              <w:jc w:val="center"/>
              <w:rPr>
                <w:sz w:val="24"/>
              </w:rPr>
            </w:pPr>
            <w:r>
              <w:rPr>
                <w:rFonts w:hint="eastAsia"/>
                <w:sz w:val="24"/>
              </w:rPr>
              <w:t>现任职务及职称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12"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12"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12"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12"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12" w:space="0"/>
              <w:right w:val="single" w:color="auto" w:sz="12" w:space="0"/>
            </w:tcBorders>
            <w:vAlign w:val="center"/>
          </w:tcPr>
          <w:p>
            <w:pPr>
              <w:rPr>
                <w:sz w:val="24"/>
              </w:rPr>
            </w:pPr>
          </w:p>
        </w:tc>
      </w:tr>
    </w:tbl>
    <w:p>
      <w:pPr>
        <w:rPr>
          <w:bCs/>
          <w:szCs w:val="21"/>
        </w:rPr>
      </w:pPr>
    </w:p>
    <w:p>
      <w:pPr>
        <w:rPr>
          <w:bCs/>
          <w:szCs w:val="21"/>
          <w:highlight w:val="green"/>
        </w:rPr>
      </w:pPr>
      <w:r>
        <w:rPr>
          <w:rFonts w:hint="eastAsia"/>
          <w:bCs/>
          <w:szCs w:val="21"/>
        </w:rPr>
        <w:t>注：供应商应根据磋商文件要求和采购项目的实际需要列出团队组成人员。</w:t>
      </w:r>
    </w:p>
    <w:p>
      <w:pPr>
        <w:spacing w:line="300" w:lineRule="exact"/>
      </w:pPr>
    </w:p>
    <w:p>
      <w:pPr>
        <w:spacing w:line="400" w:lineRule="exact"/>
        <w:rPr>
          <w:rFonts w:ascii="宋体" w:hAnsi="宋体" w:cs="宋体"/>
          <w:b/>
          <w:sz w:val="24"/>
        </w:rPr>
      </w:pPr>
    </w:p>
    <w:p>
      <w:pPr>
        <w:pStyle w:val="2"/>
      </w:pPr>
    </w:p>
    <w:p>
      <w:pPr>
        <w:pStyle w:val="2"/>
      </w:pPr>
    </w:p>
    <w:p>
      <w:pPr>
        <w:pStyle w:val="2"/>
      </w:pPr>
    </w:p>
    <w:p>
      <w:pPr>
        <w:pStyle w:val="2"/>
      </w:pPr>
    </w:p>
    <w:p>
      <w:pPr>
        <w:pStyle w:val="2"/>
      </w:pPr>
    </w:p>
    <w:p>
      <w:pPr>
        <w:autoSpaceDE w:val="0"/>
        <w:autoSpaceDN w:val="0"/>
        <w:adjustRightInd w:val="0"/>
        <w:spacing w:line="500" w:lineRule="exact"/>
        <w:ind w:firstLine="360" w:firstLineChars="150"/>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 w:val="24"/>
          <w:u w:val="single"/>
        </w:rPr>
        <w:t>（公章）</w:t>
      </w:r>
    </w:p>
    <w:p>
      <w:pPr>
        <w:autoSpaceDE w:val="0"/>
        <w:autoSpaceDN w:val="0"/>
        <w:adjustRightInd w:val="0"/>
        <w:spacing w:line="500" w:lineRule="exact"/>
        <w:jc w:val="both"/>
        <w:rPr>
          <w:rFonts w:hint="eastAsia" w:ascii="宋体" w:hAnsi="宋体" w:cs="宋体"/>
          <w:kern w:val="0"/>
          <w:sz w:val="24"/>
        </w:rPr>
      </w:pPr>
    </w:p>
    <w:p>
      <w:pPr>
        <w:autoSpaceDE w:val="0"/>
        <w:autoSpaceDN w:val="0"/>
        <w:adjustRightInd w:val="0"/>
        <w:spacing w:line="500" w:lineRule="exact"/>
        <w:ind w:firstLine="240" w:firstLineChars="100"/>
        <w:jc w:val="both"/>
        <w:rPr>
          <w:rFonts w:ascii="宋体" w:hAnsi="宋体" w:cs="宋体"/>
          <w:kern w:val="0"/>
          <w:sz w:val="24"/>
          <w:u w:val="single"/>
          <w:lang w:val="zh-CN"/>
        </w:rPr>
      </w:pPr>
      <w:r>
        <w:rPr>
          <w:rFonts w:hint="eastAsia" w:ascii="宋体" w:hAnsi="宋体" w:cs="宋体"/>
          <w:kern w:val="0"/>
          <w:sz w:val="24"/>
        </w:rPr>
        <w:t>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人：</w:t>
      </w:r>
      <w:r>
        <w:rPr>
          <w:rFonts w:hint="eastAsia" w:ascii="宋体" w:hAnsi="宋体" w:cs="宋体"/>
          <w:kern w:val="0"/>
          <w:sz w:val="24"/>
          <w:u w:val="single"/>
          <w:lang w:val="zh-CN"/>
        </w:rPr>
        <w:t xml:space="preserve">    （签字）          </w:t>
      </w:r>
    </w:p>
    <w:p>
      <w:pPr>
        <w:spacing w:line="400" w:lineRule="exact"/>
        <w:rPr>
          <w:rFonts w:hint="eastAsia" w:ascii="宋体" w:hAnsi="宋体" w:cs="宋体"/>
          <w:kern w:val="0"/>
          <w:sz w:val="24"/>
          <w:lang w:val="zh-CN"/>
        </w:rPr>
      </w:pPr>
    </w:p>
    <w:p>
      <w:pPr>
        <w:spacing w:line="400" w:lineRule="exact"/>
        <w:ind w:firstLine="240" w:firstLineChars="100"/>
        <w:rPr>
          <w:rFonts w:ascii="宋体" w:hAnsi="宋体" w:cs="宋体"/>
          <w:b/>
          <w:sz w:val="24"/>
        </w:rPr>
      </w:pPr>
      <w:r>
        <w:rPr>
          <w:rFonts w:hint="eastAsia" w:ascii="宋体" w:hAnsi="宋体" w:cs="宋体"/>
          <w:kern w:val="0"/>
          <w:sz w:val="24"/>
          <w:lang w:val="zh-CN"/>
        </w:rPr>
        <w:t>日期：</w:t>
      </w:r>
    </w:p>
    <w:p>
      <w:pPr>
        <w:spacing w:line="500" w:lineRule="auto"/>
        <w:rPr>
          <w:rFonts w:ascii="宋体" w:hAnsi="宋体" w:cs="宋体"/>
          <w:b/>
          <w:sz w:val="24"/>
        </w:rPr>
      </w:pPr>
    </w:p>
    <w:p>
      <w:pPr>
        <w:pStyle w:val="2"/>
      </w:pPr>
    </w:p>
    <w:p>
      <w:pPr>
        <w:pStyle w:val="2"/>
      </w:pPr>
    </w:p>
    <w:p>
      <w:pPr>
        <w:pStyle w:val="2"/>
      </w:pPr>
    </w:p>
    <w:p>
      <w:pPr>
        <w:spacing w:line="360" w:lineRule="auto"/>
        <w:rPr>
          <w:rFonts w:hint="eastAsia" w:ascii="宋体" w:hAnsi="宋体"/>
          <w:b/>
          <w:color w:val="000000"/>
          <w:sz w:val="28"/>
        </w:rPr>
      </w:pPr>
    </w:p>
    <w:p>
      <w:pPr>
        <w:spacing w:line="360" w:lineRule="auto"/>
        <w:rPr>
          <w:rFonts w:ascii="宋体" w:hAnsi="宋体"/>
          <w:b/>
          <w:color w:val="000000"/>
          <w:sz w:val="28"/>
        </w:rPr>
      </w:pPr>
      <w:r>
        <w:rPr>
          <w:rFonts w:hint="eastAsia" w:ascii="宋体" w:hAnsi="宋体"/>
          <w:b/>
          <w:color w:val="000000"/>
          <w:sz w:val="28"/>
        </w:rPr>
        <w:t>附件</w:t>
      </w:r>
      <w:r>
        <w:rPr>
          <w:rFonts w:ascii="宋体" w:hAnsi="宋体"/>
          <w:b/>
          <w:color w:val="000000"/>
          <w:sz w:val="28"/>
        </w:rPr>
        <w:t>6</w:t>
      </w:r>
      <w:r>
        <w:rPr>
          <w:rFonts w:hint="eastAsia" w:ascii="宋体" w:hAnsi="宋体"/>
          <w:b/>
          <w:color w:val="000000"/>
          <w:sz w:val="28"/>
        </w:rPr>
        <w:t>：</w:t>
      </w:r>
    </w:p>
    <w:p>
      <w:pPr>
        <w:pStyle w:val="36"/>
        <w:spacing w:line="360" w:lineRule="auto"/>
        <w:jc w:val="center"/>
        <w:rPr>
          <w:rFonts w:ascii="宋体" w:hAnsi="宋体"/>
          <w:b/>
          <w:color w:val="000000"/>
          <w:sz w:val="32"/>
          <w:szCs w:val="32"/>
        </w:rPr>
      </w:pPr>
      <w:r>
        <w:rPr>
          <w:rFonts w:hint="eastAsia" w:ascii="宋体" w:hAnsi="宋体"/>
          <w:b/>
          <w:color w:val="000000"/>
          <w:sz w:val="32"/>
          <w:szCs w:val="32"/>
        </w:rPr>
        <w:t>项目类似业绩一览表</w:t>
      </w:r>
    </w:p>
    <w:tbl>
      <w:tblPr>
        <w:tblStyle w:val="24"/>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09"/>
        <w:gridCol w:w="1843"/>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序号</w:t>
            </w:r>
          </w:p>
        </w:tc>
        <w:tc>
          <w:tcPr>
            <w:tcW w:w="1909"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项目名称</w:t>
            </w:r>
          </w:p>
        </w:tc>
        <w:tc>
          <w:tcPr>
            <w:tcW w:w="1843"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业主单位</w:t>
            </w:r>
          </w:p>
        </w:tc>
        <w:tc>
          <w:tcPr>
            <w:tcW w:w="2126"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合同签订时间</w:t>
            </w:r>
          </w:p>
        </w:tc>
        <w:tc>
          <w:tcPr>
            <w:tcW w:w="1276"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bl>
    <w:p>
      <w:pPr>
        <w:pStyle w:val="33"/>
        <w:tabs>
          <w:tab w:val="left" w:pos="1050"/>
        </w:tabs>
        <w:spacing w:line="360" w:lineRule="auto"/>
        <w:rPr>
          <w:rFonts w:ascii="宋体" w:hAnsi="宋体"/>
          <w:color w:val="000000"/>
          <w:szCs w:val="21"/>
        </w:rPr>
      </w:pPr>
      <w:r>
        <w:rPr>
          <w:rFonts w:hint="eastAsia" w:ascii="宋体" w:hAnsi="宋体"/>
          <w:b/>
          <w:color w:val="000000"/>
          <w:szCs w:val="21"/>
        </w:rPr>
        <w:t>要求：</w:t>
      </w:r>
    </w:p>
    <w:p>
      <w:pPr>
        <w:autoSpaceDE w:val="0"/>
        <w:autoSpaceDN w:val="0"/>
        <w:adjustRightInd w:val="0"/>
        <w:spacing w:beforeLines="50" w:line="360" w:lineRule="auto"/>
        <w:ind w:firstLine="424" w:firstLineChars="202"/>
        <w:rPr>
          <w:rFonts w:ascii="宋体" w:hAnsi="宋体" w:cs="Arial"/>
          <w:b/>
          <w:color w:val="000000"/>
          <w:szCs w:val="21"/>
        </w:rPr>
      </w:pPr>
      <w:r>
        <w:rPr>
          <w:rFonts w:ascii="宋体" w:hAnsi="宋体" w:cs="Arial"/>
          <w:color w:val="000000"/>
          <w:szCs w:val="21"/>
        </w:rPr>
        <w:t>1</w:t>
      </w:r>
      <w:r>
        <w:rPr>
          <w:rFonts w:hint="eastAsia" w:ascii="宋体" w:hAnsi="宋体" w:cs="Arial"/>
          <w:color w:val="000000"/>
          <w:szCs w:val="21"/>
        </w:rPr>
        <w:t>.</w:t>
      </w:r>
      <w:r>
        <w:rPr>
          <w:rFonts w:ascii="宋体" w:hAnsi="宋体" w:cs="Arial"/>
          <w:color w:val="000000"/>
          <w:szCs w:val="21"/>
        </w:rPr>
        <w:t>业绩证明应提供证明材料（合同</w:t>
      </w:r>
      <w:r>
        <w:rPr>
          <w:rFonts w:hint="eastAsia" w:ascii="宋体" w:hAnsi="宋体" w:cs="Arial"/>
          <w:color w:val="000000"/>
          <w:szCs w:val="21"/>
        </w:rPr>
        <w:t>复印件可只提供首页、含金额页、盖章页并加盖谈判供应商公章</w:t>
      </w:r>
      <w:r>
        <w:rPr>
          <w:rFonts w:ascii="宋体" w:hAnsi="宋体" w:cs="Arial"/>
          <w:color w:val="000000"/>
          <w:szCs w:val="21"/>
        </w:rPr>
        <w:t>）；</w:t>
      </w:r>
    </w:p>
    <w:p>
      <w:pPr>
        <w:spacing w:line="360" w:lineRule="auto"/>
        <w:ind w:firstLine="424" w:firstLineChars="202"/>
        <w:jc w:val="left"/>
        <w:rPr>
          <w:rFonts w:ascii="宋体" w:hAnsi="宋体" w:cs="Arial"/>
          <w:color w:val="000000"/>
          <w:szCs w:val="21"/>
        </w:rPr>
      </w:pPr>
      <w:r>
        <w:rPr>
          <w:rFonts w:ascii="宋体" w:hAnsi="宋体" w:cs="Arial"/>
          <w:color w:val="000000"/>
          <w:szCs w:val="21"/>
        </w:rPr>
        <w:t>2</w:t>
      </w:r>
      <w:r>
        <w:rPr>
          <w:rFonts w:hint="eastAsia" w:ascii="宋体" w:hAnsi="宋体" w:cs="Arial"/>
          <w:color w:val="000000"/>
          <w:szCs w:val="21"/>
        </w:rPr>
        <w:t>.谈判供应商</w:t>
      </w:r>
      <w:r>
        <w:rPr>
          <w:rFonts w:ascii="宋体" w:hAnsi="宋体" w:cs="Arial"/>
          <w:color w:val="000000"/>
          <w:szCs w:val="21"/>
        </w:rPr>
        <w:t>可按此表格式复制</w:t>
      </w:r>
      <w:r>
        <w:rPr>
          <w:rFonts w:hint="eastAsia" w:ascii="宋体" w:hAnsi="宋体" w:cs="Arial"/>
          <w:color w:val="000000"/>
          <w:szCs w:val="21"/>
        </w:rPr>
        <w:t>。</w:t>
      </w:r>
    </w:p>
    <w:p>
      <w:pPr>
        <w:pStyle w:val="33"/>
        <w:tabs>
          <w:tab w:val="left" w:pos="1050"/>
        </w:tabs>
        <w:spacing w:line="360" w:lineRule="auto"/>
        <w:ind w:firstLine="424" w:firstLineChars="202"/>
        <w:rPr>
          <w:rFonts w:ascii="宋体" w:hAnsi="宋体"/>
          <w:color w:val="000000"/>
          <w:szCs w:val="21"/>
        </w:rPr>
      </w:pPr>
    </w:p>
    <w:p>
      <w:pPr>
        <w:pStyle w:val="33"/>
        <w:tabs>
          <w:tab w:val="left" w:pos="1050"/>
        </w:tabs>
        <w:spacing w:line="360" w:lineRule="auto"/>
        <w:ind w:firstLine="720" w:firstLineChars="300"/>
        <w:rPr>
          <w:rFonts w:ascii="仿宋_GB2312" w:hAnsi="宋体" w:eastAsia="仿宋_GB2312"/>
          <w:color w:val="000000"/>
          <w:sz w:val="24"/>
        </w:rPr>
      </w:pPr>
    </w:p>
    <w:p>
      <w:pPr>
        <w:pStyle w:val="33"/>
        <w:tabs>
          <w:tab w:val="left" w:pos="1050"/>
        </w:tabs>
        <w:spacing w:line="360" w:lineRule="auto"/>
        <w:ind w:firstLine="720" w:firstLineChars="300"/>
        <w:rPr>
          <w:rFonts w:ascii="仿宋_GB2312" w:hAnsi="宋体" w:eastAsia="仿宋_GB2312"/>
          <w:color w:val="000000"/>
          <w:sz w:val="24"/>
        </w:rPr>
      </w:pPr>
    </w:p>
    <w:p>
      <w:pPr>
        <w:pStyle w:val="33"/>
        <w:tabs>
          <w:tab w:val="left" w:pos="1050"/>
        </w:tabs>
        <w:spacing w:line="360" w:lineRule="auto"/>
        <w:ind w:firstLine="720" w:firstLineChars="300"/>
        <w:rPr>
          <w:rFonts w:ascii="仿宋_GB2312" w:hAnsi="宋体" w:eastAsia="仿宋_GB2312"/>
          <w:color w:val="000000"/>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autoSpaceDE w:val="0"/>
        <w:autoSpaceDN w:val="0"/>
        <w:adjustRightInd w:val="0"/>
        <w:spacing w:line="360" w:lineRule="auto"/>
        <w:rPr>
          <w:rFonts w:ascii="仿宋_GB2312" w:hAnsi="仿宋_GB2312" w:eastAsia="仿宋_GB2312" w:cs="仿宋_GB2312"/>
          <w:color w:val="000000"/>
          <w:sz w:val="24"/>
          <w:shd w:val="clear" w:color="FFFFFF" w:fill="D9D9D9"/>
        </w:rPr>
      </w:pPr>
    </w:p>
    <w:p>
      <w:pPr>
        <w:pStyle w:val="2"/>
      </w:pPr>
    </w:p>
    <w:p>
      <w:r>
        <w:rPr>
          <w:rFonts w:hint="eastAsia" w:ascii="宋体" w:hAnsi="宋体"/>
          <w:b/>
          <w:color w:val="000000"/>
          <w:sz w:val="28"/>
        </w:rPr>
        <w:t>附件</w:t>
      </w:r>
      <w:r>
        <w:rPr>
          <w:rFonts w:ascii="宋体" w:hAnsi="宋体"/>
          <w:b/>
          <w:color w:val="000000"/>
          <w:sz w:val="28"/>
        </w:rPr>
        <w:t>7</w:t>
      </w:r>
      <w:r>
        <w:rPr>
          <w:rFonts w:hint="eastAsia"/>
        </w:rPr>
        <w:t>：</w:t>
      </w:r>
    </w:p>
    <w:p>
      <w:pPr>
        <w:ind w:firstLine="2400" w:firstLineChars="800"/>
        <w:rPr>
          <w:sz w:val="30"/>
          <w:szCs w:val="30"/>
        </w:rPr>
      </w:pPr>
      <w:r>
        <w:rPr>
          <w:rFonts w:hint="eastAsia"/>
          <w:sz w:val="30"/>
          <w:szCs w:val="30"/>
        </w:rPr>
        <w:t>项目实施方案（格式自拟）</w:t>
      </w: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ind w:firstLine="2730" w:firstLineChars="1300"/>
      </w:pPr>
    </w:p>
    <w:p>
      <w:pPr>
        <w:rPr>
          <w:rFonts w:ascii="宋体" w:hAnsi="宋体"/>
          <w:b/>
          <w:kern w:val="0"/>
          <w:sz w:val="28"/>
          <w:szCs w:val="28"/>
        </w:rPr>
      </w:pPr>
      <w:r>
        <w:rPr>
          <w:rFonts w:hint="eastAsia" w:ascii="宋体" w:hAnsi="宋体"/>
          <w:b/>
          <w:kern w:val="0"/>
          <w:sz w:val="28"/>
          <w:szCs w:val="28"/>
        </w:rPr>
        <w:t>附件</w:t>
      </w:r>
      <w:r>
        <w:rPr>
          <w:rFonts w:hint="eastAsia" w:ascii="宋体" w:hAnsi="宋体"/>
          <w:b/>
          <w:kern w:val="0"/>
          <w:sz w:val="28"/>
          <w:szCs w:val="28"/>
          <w:lang w:val="en-US" w:eastAsia="zh-CN"/>
        </w:rPr>
        <w:t>8</w:t>
      </w:r>
      <w:r>
        <w:rPr>
          <w:rFonts w:hint="eastAsia" w:ascii="宋体" w:hAnsi="宋体"/>
          <w:b/>
          <w:kern w:val="0"/>
          <w:sz w:val="28"/>
          <w:szCs w:val="28"/>
        </w:rPr>
        <w:t xml:space="preserve">                             　　　         本</w:t>
      </w:r>
    </w:p>
    <w:p>
      <w:pPr>
        <w:snapToGrid w:val="0"/>
        <w:spacing w:beforeLines="50" w:after="50" w:line="360" w:lineRule="auto"/>
        <w:rPr>
          <w:rFonts w:ascii="宋体" w:hAnsi="宋体"/>
          <w:b/>
          <w:sz w:val="24"/>
        </w:rPr>
      </w:pP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件</w:t>
      </w:r>
    </w:p>
    <w:p>
      <w:pPr>
        <w:pStyle w:val="2"/>
        <w:spacing w:line="360" w:lineRule="auto"/>
        <w:jc w:val="center"/>
        <w:rPr>
          <w:rFonts w:ascii="宋体" w:hAnsi="宋体"/>
          <w:sz w:val="32"/>
          <w:szCs w:val="32"/>
        </w:rPr>
      </w:pPr>
      <w:r>
        <w:rPr>
          <w:rFonts w:hint="eastAsia" w:ascii="宋体" w:hAnsi="宋体"/>
          <w:b/>
          <w:bCs/>
          <w:sz w:val="44"/>
          <w:szCs w:val="44"/>
        </w:rPr>
        <w:t>（报价文件）</w:t>
      </w: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jc w:val="center"/>
        <w:rPr>
          <w:rFonts w:ascii="宋体" w:hAnsi="宋体"/>
          <w:b/>
          <w:bCs/>
          <w:sz w:val="36"/>
          <w:szCs w:val="36"/>
        </w:rPr>
      </w:pPr>
    </w:p>
    <w:p>
      <w:pPr>
        <w:pStyle w:val="2"/>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pStyle w:val="2"/>
      </w:pP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第一部分 ：</w:t>
      </w:r>
      <w:r>
        <w:rPr>
          <w:rFonts w:hint="eastAsia" w:ascii="宋体" w:hAnsi="宋体" w:cs="宋体"/>
          <w:b/>
          <w:sz w:val="28"/>
          <w:szCs w:val="28"/>
        </w:rPr>
        <w:t>报价</w:t>
      </w:r>
      <w:r>
        <w:rPr>
          <w:rFonts w:hint="eastAsia" w:ascii="宋体" w:hAnsi="宋体" w:cs="宋体"/>
          <w:b/>
          <w:bCs/>
          <w:sz w:val="28"/>
          <w:szCs w:val="28"/>
        </w:rPr>
        <w:t>部分</w:t>
      </w:r>
    </w:p>
    <w:p>
      <w:pPr>
        <w:snapToGrid w:val="0"/>
        <w:spacing w:line="360" w:lineRule="auto"/>
        <w:ind w:firstLine="420" w:firstLineChars="175"/>
        <w:jc w:val="left"/>
        <w:rPr>
          <w:rFonts w:ascii="宋体" w:hAnsi="宋体"/>
          <w:sz w:val="24"/>
        </w:rPr>
      </w:pPr>
      <w:r>
        <w:rPr>
          <w:rFonts w:hint="eastAsia" w:ascii="宋体" w:hAnsi="宋体"/>
          <w:sz w:val="24"/>
        </w:rPr>
        <w:t>1、</w:t>
      </w:r>
      <w:r>
        <w:rPr>
          <w:rFonts w:hint="eastAsia" w:ascii="宋体" w:hAnsi="宋体" w:cs="宋体"/>
          <w:color w:val="000000"/>
          <w:sz w:val="24"/>
        </w:rPr>
        <w:t>首次报价一览表</w:t>
      </w:r>
      <w:r>
        <w:rPr>
          <w:rFonts w:hint="eastAsia" w:ascii="宋体" w:hAnsi="宋体"/>
          <w:sz w:val="24"/>
        </w:rPr>
        <w:t>（附件</w:t>
      </w:r>
      <w:r>
        <w:rPr>
          <w:rFonts w:hint="eastAsia" w:ascii="宋体" w:hAnsi="宋体"/>
          <w:sz w:val="24"/>
          <w:lang w:val="en-US" w:eastAsia="zh-CN"/>
        </w:rPr>
        <w:t>9</w:t>
      </w:r>
      <w:r>
        <w:rPr>
          <w:rFonts w:hint="eastAsia" w:ascii="宋体" w:hAnsi="宋体"/>
          <w:sz w:val="24"/>
        </w:rPr>
        <w:t>）；</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第二部分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r>
        <w:rPr>
          <w:rFonts w:hint="eastAsia"/>
        </w:rPr>
        <w:br w:type="page"/>
      </w:r>
    </w:p>
    <w:p>
      <w:pPr>
        <w:spacing w:line="360" w:lineRule="auto"/>
        <w:rPr>
          <w:rFonts w:ascii="宋体" w:hAnsi="宋体"/>
          <w:b/>
          <w:sz w:val="28"/>
        </w:rPr>
      </w:pPr>
      <w:r>
        <w:rPr>
          <w:rFonts w:hint="eastAsia" w:ascii="宋体" w:hAnsi="宋体"/>
          <w:b/>
          <w:color w:val="000000"/>
          <w:sz w:val="28"/>
        </w:rPr>
        <w:t>附件</w:t>
      </w:r>
      <w:r>
        <w:rPr>
          <w:rFonts w:hint="eastAsia" w:ascii="宋体" w:hAnsi="宋体"/>
          <w:b/>
          <w:color w:val="000000"/>
          <w:sz w:val="28"/>
          <w:lang w:val="en-US" w:eastAsia="zh-CN"/>
        </w:rPr>
        <w:t>9</w:t>
      </w:r>
      <w:r>
        <w:rPr>
          <w:rFonts w:hint="eastAsia" w:ascii="宋体" w:hAnsi="宋体"/>
          <w:b/>
          <w:color w:val="000000"/>
          <w:sz w:val="28"/>
        </w:rPr>
        <w:t>：</w:t>
      </w:r>
    </w:p>
    <w:p>
      <w:pPr>
        <w:spacing w:line="360" w:lineRule="atLeast"/>
        <w:ind w:left="480"/>
        <w:jc w:val="center"/>
        <w:rPr>
          <w:rFonts w:ascii="宋体" w:hAnsi="宋体"/>
          <w:b/>
          <w:color w:val="33CCCC"/>
          <w:sz w:val="32"/>
          <w:szCs w:val="32"/>
        </w:rPr>
      </w:pPr>
      <w:r>
        <w:rPr>
          <w:rFonts w:hint="eastAsia" w:ascii="宋体" w:hAnsi="宋体"/>
          <w:b/>
          <w:sz w:val="32"/>
          <w:szCs w:val="32"/>
        </w:rPr>
        <w:t>首次报价一览表</w:t>
      </w:r>
    </w:p>
    <w:p>
      <w:pPr>
        <w:spacing w:line="360" w:lineRule="atLeast"/>
        <w:ind w:left="480"/>
        <w:rPr>
          <w:rFonts w:ascii="宋体" w:hAnsi="宋体"/>
          <w:b/>
          <w:sz w:val="30"/>
        </w:rPr>
      </w:pPr>
    </w:p>
    <w:p>
      <w:pPr>
        <w:jc w:val="center"/>
        <w:rPr>
          <w:rFonts w:ascii="宋体" w:hAnsi="宋体"/>
        </w:rPr>
      </w:pPr>
    </w:p>
    <w:p>
      <w:pPr>
        <w:pStyle w:val="11"/>
        <w:spacing w:line="320" w:lineRule="exact"/>
        <w:rPr>
          <w:rFonts w:hAnsi="宋体"/>
          <w:b/>
          <w:color w:val="000000"/>
          <w:sz w:val="24"/>
          <w:u w:val="single"/>
        </w:rPr>
      </w:pPr>
      <w:r>
        <w:rPr>
          <w:rFonts w:hAnsi="宋体"/>
          <w:b/>
          <w:color w:val="000000"/>
          <w:sz w:val="24"/>
        </w:rPr>
        <w:t>项目编号：</w:t>
      </w:r>
    </w:p>
    <w:p>
      <w:pPr>
        <w:pStyle w:val="41"/>
        <w:spacing w:line="360" w:lineRule="auto"/>
        <w:ind w:right="480" w:firstLine="241" w:firstLineChars="10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7"/>
        <w:spacing w:line="360" w:lineRule="auto"/>
        <w:ind w:firstLineChars="200"/>
        <w:rPr>
          <w:rFonts w:ascii="宋体" w:hAnsi="宋体"/>
          <w:kern w:val="0"/>
          <w:szCs w:val="21"/>
        </w:rPr>
      </w:pPr>
      <w:r>
        <w:rPr>
          <w:rFonts w:hint="eastAsia" w:ascii="宋体" w:hAnsi="宋体"/>
          <w:kern w:val="0"/>
          <w:szCs w:val="21"/>
        </w:rPr>
        <w:t>1.总价包干，该费用包括完成</w:t>
      </w:r>
      <w:r>
        <w:rPr>
          <w:rFonts w:hint="eastAsia" w:ascii="宋体" w:hAnsi="宋体"/>
          <w:kern w:val="0"/>
          <w:szCs w:val="21"/>
          <w:lang w:eastAsia="zh-CN"/>
        </w:rPr>
        <w:t>三门县健跳镇下叶水库安全鉴定项目</w:t>
      </w:r>
      <w:r>
        <w:rPr>
          <w:rFonts w:hint="eastAsia" w:ascii="宋体" w:hAnsi="宋体"/>
          <w:kern w:val="0"/>
          <w:szCs w:val="21"/>
        </w:rPr>
        <w:t>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spacing w:line="320" w:lineRule="exact"/>
        <w:ind w:firstLine="435"/>
        <w:rPr>
          <w:rFonts w:ascii="宋体" w:hAnsi="宋体"/>
          <w:sz w:val="24"/>
        </w:rPr>
      </w:pPr>
    </w:p>
    <w:p>
      <w:pPr>
        <w:spacing w:line="320" w:lineRule="exact"/>
        <w:ind w:firstLine="435"/>
        <w:rPr>
          <w:rFonts w:ascii="宋体" w:hAnsi="宋体"/>
          <w:sz w:val="24"/>
        </w:rPr>
      </w:pPr>
    </w:p>
    <w:p>
      <w:pPr>
        <w:spacing w:line="360" w:lineRule="atLeast"/>
        <w:ind w:left="480"/>
        <w:rPr>
          <w:rFonts w:ascii="宋体" w:hAnsi="宋体"/>
          <w:b/>
          <w:sz w:val="36"/>
          <w:szCs w:val="36"/>
        </w:rPr>
      </w:pPr>
      <w:r>
        <w:rPr>
          <w:rFonts w:hint="eastAsia" w:ascii="宋体" w:hAnsi="宋体"/>
          <w:b/>
          <w:sz w:val="32"/>
          <w:szCs w:val="32"/>
        </w:rPr>
        <w:t>附：</w:t>
      </w:r>
      <w:r>
        <w:rPr>
          <w:rFonts w:hint="eastAsia" w:ascii="宋体" w:hAnsi="宋体"/>
          <w:b/>
          <w:sz w:val="36"/>
          <w:szCs w:val="36"/>
        </w:rPr>
        <w:t>报价明细表</w:t>
      </w:r>
      <w:r>
        <w:rPr>
          <w:rFonts w:hint="eastAsia" w:ascii="宋体" w:hAnsi="宋体"/>
          <w:b/>
          <w:color w:val="FF0000"/>
          <w:sz w:val="32"/>
          <w:szCs w:val="32"/>
        </w:rPr>
        <w:t>（提供格式）</w:t>
      </w:r>
    </w:p>
    <w:p>
      <w:pPr>
        <w:spacing w:line="360" w:lineRule="auto"/>
        <w:ind w:left="480"/>
        <w:jc w:val="center"/>
        <w:rPr>
          <w:rFonts w:ascii="宋体" w:hAnsi="宋体"/>
        </w:rPr>
      </w:pPr>
    </w:p>
    <w:p>
      <w:pPr>
        <w:spacing w:line="360" w:lineRule="auto"/>
        <w:rPr>
          <w:rFonts w:ascii="宋体" w:hAnsi="宋体"/>
          <w:sz w:val="24"/>
        </w:rPr>
      </w:pPr>
      <w:r>
        <w:rPr>
          <w:rFonts w:hint="eastAsia" w:ascii="宋体" w:hAnsi="宋体"/>
          <w:sz w:val="24"/>
        </w:rPr>
        <w:t xml:space="preserve">  项目编号：                                    [货币单位：人民币元]</w:t>
      </w:r>
    </w:p>
    <w:tbl>
      <w:tblPr>
        <w:tblStyle w:val="24"/>
        <w:tblW w:w="5685" w:type="pct"/>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561"/>
        <w:gridCol w:w="1400"/>
        <w:gridCol w:w="1155"/>
        <w:gridCol w:w="1483"/>
        <w:gridCol w:w="1500"/>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369" w:type="pct"/>
            <w:vAlign w:val="center"/>
          </w:tcPr>
          <w:p>
            <w:pPr>
              <w:spacing w:line="360" w:lineRule="auto"/>
              <w:jc w:val="center"/>
              <w:rPr>
                <w:rFonts w:ascii="宋体" w:hAnsi="宋体"/>
                <w:b/>
                <w:sz w:val="24"/>
              </w:rPr>
            </w:pPr>
            <w:r>
              <w:rPr>
                <w:rFonts w:hint="eastAsia" w:ascii="宋体" w:hAnsi="宋体"/>
                <w:b/>
                <w:sz w:val="24"/>
              </w:rPr>
              <w:t>序号</w:t>
            </w:r>
          </w:p>
        </w:tc>
        <w:tc>
          <w:tcPr>
            <w:tcW w:w="1337" w:type="pct"/>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lang w:val="en-US" w:eastAsia="zh-CN"/>
              </w:rPr>
              <w:t>项目</w:t>
            </w:r>
            <w:r>
              <w:rPr>
                <w:rFonts w:hint="eastAsia" w:ascii="宋体" w:hAnsi="宋体"/>
                <w:b/>
                <w:sz w:val="24"/>
              </w:rPr>
              <w:t>名称</w:t>
            </w:r>
          </w:p>
        </w:tc>
        <w:tc>
          <w:tcPr>
            <w:tcW w:w="731" w:type="pct"/>
            <w:vAlign w:val="center"/>
          </w:tcPr>
          <w:p>
            <w:pPr>
              <w:tabs>
                <w:tab w:val="left" w:pos="8280"/>
              </w:tabs>
              <w:autoSpaceDE w:val="0"/>
              <w:autoSpaceDN w:val="0"/>
              <w:adjustRightInd w:val="0"/>
              <w:spacing w:line="360" w:lineRule="auto"/>
              <w:ind w:right="25"/>
              <w:jc w:val="center"/>
              <w:rPr>
                <w:rFonts w:hint="eastAsia" w:ascii="宋体" w:hAnsi="宋体" w:eastAsia="宋体"/>
                <w:b/>
                <w:sz w:val="24"/>
                <w:lang w:eastAsia="zh-CN"/>
              </w:rPr>
            </w:pPr>
            <w:r>
              <w:rPr>
                <w:rFonts w:hint="eastAsia" w:ascii="宋体" w:hAnsi="宋体"/>
                <w:b/>
                <w:sz w:val="24"/>
                <w:lang w:val="en-US" w:eastAsia="zh-CN"/>
              </w:rPr>
              <w:t>规格型号</w:t>
            </w:r>
          </w:p>
        </w:tc>
        <w:tc>
          <w:tcPr>
            <w:tcW w:w="603" w:type="pct"/>
            <w:vAlign w:val="center"/>
          </w:tcPr>
          <w:p>
            <w:pPr>
              <w:spacing w:line="360" w:lineRule="auto"/>
              <w:ind w:left="52"/>
              <w:jc w:val="center"/>
              <w:rPr>
                <w:rFonts w:ascii="宋体" w:hAnsi="宋体"/>
                <w:b/>
                <w:sz w:val="24"/>
              </w:rPr>
            </w:pPr>
            <w:r>
              <w:rPr>
                <w:rFonts w:hint="eastAsia" w:ascii="宋体" w:hAnsi="宋体"/>
                <w:b/>
                <w:sz w:val="24"/>
              </w:rPr>
              <w:t>数量</w:t>
            </w:r>
          </w:p>
        </w:tc>
        <w:tc>
          <w:tcPr>
            <w:tcW w:w="774" w:type="pct"/>
            <w:vAlign w:val="center"/>
          </w:tcPr>
          <w:p>
            <w:pPr>
              <w:spacing w:line="360" w:lineRule="auto"/>
              <w:ind w:left="152"/>
              <w:jc w:val="center"/>
              <w:rPr>
                <w:rFonts w:ascii="宋体" w:hAnsi="宋体"/>
                <w:b/>
                <w:sz w:val="24"/>
              </w:rPr>
            </w:pPr>
            <w:r>
              <w:rPr>
                <w:rFonts w:hint="eastAsia" w:ascii="宋体" w:hAnsi="宋体"/>
                <w:b/>
                <w:sz w:val="24"/>
              </w:rPr>
              <w:t>投标单价</w:t>
            </w:r>
          </w:p>
        </w:tc>
        <w:tc>
          <w:tcPr>
            <w:tcW w:w="783" w:type="pct"/>
            <w:vAlign w:val="center"/>
          </w:tcPr>
          <w:p>
            <w:pPr>
              <w:spacing w:line="360" w:lineRule="auto"/>
              <w:jc w:val="center"/>
              <w:rPr>
                <w:rFonts w:hint="eastAsia" w:ascii="宋体" w:hAnsi="宋体" w:eastAsia="宋体"/>
                <w:b/>
                <w:sz w:val="24"/>
                <w:lang w:eastAsia="zh-CN"/>
              </w:rPr>
            </w:pPr>
            <w:r>
              <w:rPr>
                <w:rFonts w:hint="eastAsia" w:ascii="宋体" w:hAnsi="宋体"/>
                <w:b/>
                <w:sz w:val="24"/>
                <w:lang w:val="en-US" w:eastAsia="zh-CN"/>
              </w:rPr>
              <w:t>小计</w:t>
            </w:r>
          </w:p>
        </w:tc>
        <w:tc>
          <w:tcPr>
            <w:tcW w:w="399" w:type="pct"/>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1</w:t>
            </w:r>
          </w:p>
        </w:tc>
        <w:tc>
          <w:tcPr>
            <w:tcW w:w="1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szCs w:val="20"/>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2</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3</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4</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5</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bl>
    <w:p>
      <w:pPr>
        <w:spacing w:line="360" w:lineRule="auto"/>
        <w:rPr>
          <w:rFonts w:ascii="宋体" w:hAnsi="宋体"/>
          <w:b/>
          <w:szCs w:val="21"/>
        </w:rPr>
      </w:pPr>
    </w:p>
    <w:p>
      <w:pPr>
        <w:spacing w:line="360" w:lineRule="auto"/>
        <w:ind w:left="435"/>
        <w:rPr>
          <w:rFonts w:ascii="宋体" w:hAnsi="宋体"/>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ind w:left="435"/>
        <w:rPr>
          <w:rFonts w:ascii="宋体"/>
          <w:szCs w:val="21"/>
          <w:lang w:val="zh-CN"/>
        </w:rPr>
      </w:pPr>
      <w:r>
        <w:rPr>
          <w:rFonts w:hint="eastAsia" w:ascii="宋体"/>
          <w:szCs w:val="21"/>
          <w:lang w:val="zh-CN"/>
        </w:rPr>
        <w:t>5.以上工作量均为暂估，结算工作量按实际完成的工作量为准。</w:t>
      </w:r>
    </w:p>
    <w:p>
      <w:pPr>
        <w:spacing w:line="360" w:lineRule="auto"/>
        <w:ind w:left="435"/>
        <w:rPr>
          <w:rFonts w:ascii="宋体"/>
          <w:szCs w:val="21"/>
          <w:lang w:val="zh-CN"/>
        </w:rPr>
      </w:pPr>
    </w:p>
    <w:p>
      <w:pPr>
        <w:ind w:left="420"/>
        <w:rPr>
          <w:rFonts w:ascii="宋体" w:hAnsi="宋体"/>
          <w:sz w:val="24"/>
        </w:rPr>
      </w:pPr>
      <w:r>
        <w:rPr>
          <w:rFonts w:hint="eastAsia" w:ascii="宋体" w:hAnsi="宋体"/>
          <w:sz w:val="24"/>
        </w:rPr>
        <w:t>投标人名称（盖章）：</w:t>
      </w:r>
      <w:r>
        <w:rPr>
          <w:rFonts w:hint="eastAsia" w:ascii="宋体" w:hAnsi="宋体"/>
          <w:sz w:val="24"/>
          <w:lang w:val="en-US" w:eastAsia="zh-CN"/>
        </w:rPr>
        <w:t xml:space="preserve">                   </w:t>
      </w:r>
      <w:r>
        <w:rPr>
          <w:rFonts w:hint="eastAsia" w:ascii="宋体" w:hAnsi="宋体"/>
          <w:sz w:val="24"/>
        </w:rPr>
        <w:t>投标人代表签字或盖章：</w:t>
      </w:r>
    </w:p>
    <w:p>
      <w:pPr>
        <w:ind w:firstLine="435"/>
        <w:rPr>
          <w:rFonts w:ascii="宋体" w:hAnsi="宋体"/>
          <w:sz w:val="24"/>
        </w:rPr>
      </w:pPr>
    </w:p>
    <w:p>
      <w:pPr>
        <w:ind w:firstLine="435"/>
        <w:jc w:val="center"/>
        <w:rPr>
          <w:rFonts w:ascii="宋体" w:hAnsi="宋体"/>
          <w:sz w:val="24"/>
        </w:rPr>
      </w:pPr>
      <w:r>
        <w:rPr>
          <w:rFonts w:hint="eastAsia" w:ascii="宋体" w:hAnsi="宋体"/>
          <w:sz w:val="24"/>
          <w:lang w:val="en-US" w:eastAsia="zh-CN"/>
        </w:rPr>
        <w:t xml:space="preserve">                           </w:t>
      </w:r>
      <w:r>
        <w:rPr>
          <w:rFonts w:hint="eastAsia" w:ascii="宋体" w:hAnsi="宋体"/>
          <w:sz w:val="24"/>
        </w:rPr>
        <w:t>职        务：</w:t>
      </w:r>
    </w:p>
    <w:p>
      <w:pPr>
        <w:ind w:firstLine="435"/>
        <w:jc w:val="right"/>
        <w:rPr>
          <w:rFonts w:ascii="宋体" w:hAnsi="宋体"/>
          <w:sz w:val="24"/>
        </w:rPr>
      </w:pPr>
    </w:p>
    <w:p>
      <w:pPr>
        <w:ind w:firstLine="435"/>
        <w:jc w:val="center"/>
        <w:rPr>
          <w:rFonts w:ascii="宋体" w:hAnsi="宋体"/>
          <w:sz w:val="24"/>
        </w:rPr>
      </w:pPr>
      <w:r>
        <w:rPr>
          <w:rFonts w:hint="eastAsia" w:ascii="宋体" w:hAnsi="宋体"/>
          <w:sz w:val="24"/>
          <w:lang w:val="en-US" w:eastAsia="zh-CN"/>
        </w:rPr>
        <w:t xml:space="preserve">                           </w:t>
      </w:r>
      <w:r>
        <w:rPr>
          <w:rFonts w:hint="eastAsia" w:ascii="宋体" w:hAnsi="宋体"/>
          <w:sz w:val="24"/>
        </w:rPr>
        <w:t>日        期：</w:t>
      </w:r>
    </w:p>
    <w:p>
      <w:pPr>
        <w:spacing w:line="360" w:lineRule="auto"/>
        <w:rPr>
          <w:rFonts w:ascii="宋体" w:hAnsi="宋体"/>
          <w:b/>
          <w:sz w:val="28"/>
        </w:rPr>
      </w:pPr>
    </w:p>
    <w:p>
      <w:pPr>
        <w:spacing w:line="360" w:lineRule="auto"/>
        <w:rPr>
          <w:color w:val="000000" w:themeColor="text1"/>
          <w14:textFill>
            <w14:solidFill>
              <w14:schemeClr w14:val="tx1"/>
            </w14:solidFill>
          </w14:textFill>
        </w:rPr>
      </w:pPr>
    </w:p>
    <w:p>
      <w:pPr>
        <w:spacing w:line="360" w:lineRule="atLeast"/>
        <w:ind w:left="480"/>
        <w:rPr>
          <w:rFonts w:ascii="宋体" w:hAnsi="宋体"/>
          <w:b/>
          <w:color w:val="33CCCC"/>
          <w:sz w:val="32"/>
          <w:szCs w:val="32"/>
        </w:rPr>
      </w:pPr>
      <w:r>
        <w:rPr>
          <w:rFonts w:hint="eastAsia" w:ascii="宋体" w:hAnsi="宋体"/>
          <w:b/>
          <w:sz w:val="32"/>
          <w:szCs w:val="32"/>
        </w:rPr>
        <w:t>附：最终报价一览表</w:t>
      </w:r>
      <w:r>
        <w:rPr>
          <w:rFonts w:hint="eastAsia" w:ascii="宋体" w:hAnsi="宋体"/>
          <w:b/>
          <w:color w:val="FF0000"/>
          <w:sz w:val="32"/>
          <w:szCs w:val="32"/>
        </w:rPr>
        <w:t>（提供格式 ）</w:t>
      </w:r>
    </w:p>
    <w:p>
      <w:pPr>
        <w:spacing w:line="360" w:lineRule="atLeast"/>
        <w:ind w:left="480"/>
        <w:rPr>
          <w:rFonts w:ascii="宋体" w:hAnsi="宋体"/>
          <w:b/>
          <w:sz w:val="30"/>
        </w:rPr>
      </w:pPr>
    </w:p>
    <w:p>
      <w:pPr>
        <w:jc w:val="center"/>
        <w:rPr>
          <w:rFonts w:ascii="宋体" w:hAnsi="宋体"/>
        </w:rPr>
      </w:pPr>
    </w:p>
    <w:p>
      <w:pPr>
        <w:pStyle w:val="11"/>
        <w:spacing w:line="320" w:lineRule="exact"/>
        <w:rPr>
          <w:rFonts w:hAnsi="宋体"/>
          <w:b/>
          <w:color w:val="000000"/>
          <w:sz w:val="24"/>
          <w:u w:val="single"/>
        </w:rPr>
      </w:pPr>
      <w:r>
        <w:rPr>
          <w:rFonts w:hAnsi="宋体"/>
          <w:b/>
          <w:color w:val="000000"/>
          <w:sz w:val="24"/>
        </w:rPr>
        <w:t>项目编号：</w:t>
      </w:r>
    </w:p>
    <w:p>
      <w:pPr>
        <w:pStyle w:val="41"/>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7"/>
        <w:spacing w:line="360" w:lineRule="auto"/>
        <w:ind w:firstLineChars="200"/>
        <w:rPr>
          <w:rFonts w:ascii="宋体" w:hAnsi="宋体"/>
          <w:kern w:val="0"/>
          <w:szCs w:val="21"/>
        </w:rPr>
      </w:pPr>
      <w:r>
        <w:rPr>
          <w:rFonts w:hint="eastAsia" w:ascii="宋体" w:hAnsi="宋体"/>
          <w:kern w:val="0"/>
          <w:szCs w:val="21"/>
        </w:rPr>
        <w:t>1.总价包干，该费用包括完成</w:t>
      </w:r>
      <w:r>
        <w:rPr>
          <w:rFonts w:hint="eastAsia" w:ascii="宋体" w:hAnsi="宋体"/>
          <w:kern w:val="0"/>
          <w:szCs w:val="21"/>
          <w:lang w:eastAsia="zh-CN"/>
        </w:rPr>
        <w:t>三门县健跳镇下叶水库安全鉴定项目</w:t>
      </w:r>
      <w:r>
        <w:rPr>
          <w:rFonts w:hint="eastAsia" w:ascii="宋体" w:hAnsi="宋体"/>
          <w:kern w:val="0"/>
          <w:szCs w:val="21"/>
        </w:rPr>
        <w:t>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tabs>
          <w:tab w:val="left" w:pos="6883"/>
        </w:tabs>
        <w:spacing w:line="320" w:lineRule="exact"/>
        <w:ind w:firstLine="435"/>
        <w:rPr>
          <w:rFonts w:ascii="宋体" w:hAnsi="宋体"/>
          <w:sz w:val="24"/>
        </w:rPr>
      </w:pPr>
      <w:r>
        <w:rPr>
          <w:rFonts w:hint="eastAsia" w:ascii="宋体" w:hAnsi="宋体"/>
          <w:sz w:val="24"/>
        </w:rPr>
        <w:tab/>
      </w:r>
    </w:p>
    <w:p>
      <w:pPr>
        <w:spacing w:line="320" w:lineRule="exact"/>
        <w:ind w:firstLine="435"/>
        <w:rPr>
          <w:rFonts w:ascii="宋体" w:hAnsi="宋体"/>
          <w:sz w:val="24"/>
        </w:rPr>
      </w:pPr>
    </w:p>
    <w:p>
      <w:pPr>
        <w:spacing w:line="360" w:lineRule="auto"/>
        <w:ind w:firstLine="435"/>
        <w:rPr>
          <w:color w:val="000000" w:themeColor="text1"/>
          <w14:textFill>
            <w14:solidFill>
              <w14:schemeClr w14:val="tx1"/>
            </w14:solidFill>
          </w14:textFill>
        </w:rPr>
      </w:pPr>
      <w:r>
        <w:rPr>
          <w:rFonts w:hint="eastAsia"/>
          <w:color w:val="000000" w:themeColor="text1"/>
          <w14:textFill>
            <w14:solidFill>
              <w14:schemeClr w14:val="tx1"/>
            </w14:solidFill>
          </w14:textFill>
        </w:rPr>
        <w:t>注：投标人自行准备。</w:t>
      </w:r>
    </w:p>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490" cy="131445"/>
                      </a:xfrm>
                      <a:prstGeom prst="rect">
                        <a:avLst/>
                      </a:prstGeom>
                      <a:noFill/>
                      <a:ln w="6350">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8.7pt;mso-position-horizontal:center;mso-position-horizontal-relative:margin;mso-wrap-style:none;z-index:251659264;mso-width-relative:page;mso-height-relative:page;" filled="f" stroked="f" coordsize="21600,21600" o:gfxdata="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rcKc9EAAAADAQAADwAAAAAAAAABACAAAAAiAAAAZHJzL2Rvd25yZXYueG1sUEsB&#10;AhQAFAAAAAgAh07iQBqMClc1AgAAYQQAAA4AAAAAAAAAAQAgAAAAIAEAAGRycy9lMm9Eb2MueG1s&#10;UEsFBgAAAAAGAAYAWQEAAMc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 xml:space="preserve">        </w:t>
    </w:r>
    <w:r>
      <w:rPr>
        <w:rFonts w:hint="eastAsia"/>
        <w:b/>
        <w:i/>
        <w:color w:val="808080"/>
        <w:kern w:val="0"/>
        <w:sz w:val="18"/>
        <w:u w:val="single"/>
        <w:lang w:val="en-US" w:eastAsia="zh-CN"/>
      </w:rPr>
      <w:t xml:space="preserve">                                                                  </w:t>
    </w:r>
    <w:r>
      <w:rPr>
        <w:rFonts w:hint="eastAsia"/>
        <w:b/>
        <w:i/>
        <w:color w:val="808080"/>
        <w:kern w:val="0"/>
        <w:sz w:val="18"/>
        <w:u w:val="single"/>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6"/>
      <w:lvlText w:val="%1."/>
      <w:lvlJc w:val="left"/>
      <w:pPr>
        <w:tabs>
          <w:tab w:val="left" w:pos="360"/>
        </w:tabs>
        <w:ind w:left="360" w:hanging="36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44D90D5A"/>
    <w:multiLevelType w:val="multilevel"/>
    <w:tmpl w:val="44D90D5A"/>
    <w:lvl w:ilvl="0" w:tentative="0">
      <w:start w:val="1"/>
      <w:numFmt w:val="none"/>
      <w:suff w:val="space"/>
      <w:lvlText w:val="一"/>
      <w:lvlJc w:val="left"/>
      <w:pPr>
        <w:ind w:left="0" w:firstLine="0"/>
      </w:pPr>
      <w:rPr>
        <w:rFonts w:hint="eastAsia"/>
      </w:rPr>
    </w:lvl>
    <w:lvl w:ilvl="1" w:tentative="0">
      <w:start w:val="1"/>
      <w:numFmt w:val="decimal"/>
      <w:lvlRestart w:val="0"/>
      <w:suff w:val="space"/>
      <w:lvlText w:val="%1%2"/>
      <w:lvlJc w:val="left"/>
      <w:pPr>
        <w:ind w:left="0" w:firstLine="0"/>
      </w:pPr>
      <w:rPr>
        <w:rFonts w:hint="default" w:ascii="Times New Roman" w:hAnsi="Times New Roman"/>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B4E2310"/>
    <w:multiLevelType w:val="multilevel"/>
    <w:tmpl w:val="4B4E231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C2C914C"/>
    <w:multiLevelType w:val="singleLevel"/>
    <w:tmpl w:val="5C2C914C"/>
    <w:lvl w:ilvl="0" w:tentative="0">
      <w:start w:val="1"/>
      <w:numFmt w:val="chineseCounting"/>
      <w:suff w:val="space"/>
      <w:lvlText w:val="第%1章"/>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NGY5YjRkYWYyMTMxYmU2OTQ0YjA4MWRmMzU0MWMifQ=="/>
  </w:docVars>
  <w:rsids>
    <w:rsidRoot w:val="20AE4D64"/>
    <w:rsid w:val="00074F42"/>
    <w:rsid w:val="00097C6E"/>
    <w:rsid w:val="000E7913"/>
    <w:rsid w:val="001913B5"/>
    <w:rsid w:val="001C650F"/>
    <w:rsid w:val="001D2968"/>
    <w:rsid w:val="00251CE4"/>
    <w:rsid w:val="00272AD3"/>
    <w:rsid w:val="00273926"/>
    <w:rsid w:val="00277154"/>
    <w:rsid w:val="00282F6E"/>
    <w:rsid w:val="00285085"/>
    <w:rsid w:val="002B3D08"/>
    <w:rsid w:val="003103E8"/>
    <w:rsid w:val="003E7C4B"/>
    <w:rsid w:val="00401658"/>
    <w:rsid w:val="004036C1"/>
    <w:rsid w:val="00412E4D"/>
    <w:rsid w:val="0052419F"/>
    <w:rsid w:val="005457E9"/>
    <w:rsid w:val="006A0ECC"/>
    <w:rsid w:val="00762E3A"/>
    <w:rsid w:val="00810128"/>
    <w:rsid w:val="0089349D"/>
    <w:rsid w:val="008F4530"/>
    <w:rsid w:val="00907303"/>
    <w:rsid w:val="00A10704"/>
    <w:rsid w:val="00AA08AE"/>
    <w:rsid w:val="00B436B3"/>
    <w:rsid w:val="00B70DB2"/>
    <w:rsid w:val="00B93B6E"/>
    <w:rsid w:val="00BB00AA"/>
    <w:rsid w:val="00BE1DF2"/>
    <w:rsid w:val="00BF673A"/>
    <w:rsid w:val="00C01752"/>
    <w:rsid w:val="00C527B7"/>
    <w:rsid w:val="00C93215"/>
    <w:rsid w:val="00CA7B4C"/>
    <w:rsid w:val="00CC441E"/>
    <w:rsid w:val="00CC48A5"/>
    <w:rsid w:val="00CF5758"/>
    <w:rsid w:val="00D17C36"/>
    <w:rsid w:val="00DE1E24"/>
    <w:rsid w:val="00E84345"/>
    <w:rsid w:val="00EA0E26"/>
    <w:rsid w:val="00ED7E40"/>
    <w:rsid w:val="00F62CE7"/>
    <w:rsid w:val="014F757B"/>
    <w:rsid w:val="01574618"/>
    <w:rsid w:val="01987BD9"/>
    <w:rsid w:val="01B21417"/>
    <w:rsid w:val="01D04635"/>
    <w:rsid w:val="01D0791D"/>
    <w:rsid w:val="01EB07B6"/>
    <w:rsid w:val="01EB4C4D"/>
    <w:rsid w:val="01FF43AC"/>
    <w:rsid w:val="020B6A0C"/>
    <w:rsid w:val="020C4532"/>
    <w:rsid w:val="02184DBF"/>
    <w:rsid w:val="02216BA9"/>
    <w:rsid w:val="02545635"/>
    <w:rsid w:val="025E2190"/>
    <w:rsid w:val="0267006E"/>
    <w:rsid w:val="02847F47"/>
    <w:rsid w:val="02854B85"/>
    <w:rsid w:val="02A545FC"/>
    <w:rsid w:val="02B16EEE"/>
    <w:rsid w:val="02CC05CE"/>
    <w:rsid w:val="030D6827"/>
    <w:rsid w:val="03222884"/>
    <w:rsid w:val="033458EA"/>
    <w:rsid w:val="035B314B"/>
    <w:rsid w:val="03650169"/>
    <w:rsid w:val="03660E12"/>
    <w:rsid w:val="036B44C0"/>
    <w:rsid w:val="039675A4"/>
    <w:rsid w:val="03D62486"/>
    <w:rsid w:val="03F93545"/>
    <w:rsid w:val="03FB0123"/>
    <w:rsid w:val="042115E9"/>
    <w:rsid w:val="042C07C6"/>
    <w:rsid w:val="046B647B"/>
    <w:rsid w:val="04742847"/>
    <w:rsid w:val="04A5517D"/>
    <w:rsid w:val="04AF7B9D"/>
    <w:rsid w:val="053D33B9"/>
    <w:rsid w:val="05A30F5A"/>
    <w:rsid w:val="05AF5900"/>
    <w:rsid w:val="05BA41E2"/>
    <w:rsid w:val="05F457FF"/>
    <w:rsid w:val="061237B5"/>
    <w:rsid w:val="063A007E"/>
    <w:rsid w:val="06A76A12"/>
    <w:rsid w:val="06AD7230"/>
    <w:rsid w:val="06B141BD"/>
    <w:rsid w:val="06B22976"/>
    <w:rsid w:val="06CB7AB3"/>
    <w:rsid w:val="06D7708A"/>
    <w:rsid w:val="06DE785A"/>
    <w:rsid w:val="06FB17DA"/>
    <w:rsid w:val="07045D15"/>
    <w:rsid w:val="07703B11"/>
    <w:rsid w:val="078C69A8"/>
    <w:rsid w:val="07985999"/>
    <w:rsid w:val="07AC3720"/>
    <w:rsid w:val="07BF71DB"/>
    <w:rsid w:val="07C00B21"/>
    <w:rsid w:val="08031F33"/>
    <w:rsid w:val="08806526"/>
    <w:rsid w:val="089C60D8"/>
    <w:rsid w:val="08AA1E9B"/>
    <w:rsid w:val="08AE54D9"/>
    <w:rsid w:val="08AF4DCF"/>
    <w:rsid w:val="08C90311"/>
    <w:rsid w:val="08D541C1"/>
    <w:rsid w:val="08DA6D4B"/>
    <w:rsid w:val="08F44139"/>
    <w:rsid w:val="090541F3"/>
    <w:rsid w:val="0933305D"/>
    <w:rsid w:val="093D39B0"/>
    <w:rsid w:val="09464EC3"/>
    <w:rsid w:val="099E0166"/>
    <w:rsid w:val="09BA6230"/>
    <w:rsid w:val="09BE6112"/>
    <w:rsid w:val="09E10052"/>
    <w:rsid w:val="0A1F5200"/>
    <w:rsid w:val="0A440871"/>
    <w:rsid w:val="0A5D35C4"/>
    <w:rsid w:val="0A6A3B86"/>
    <w:rsid w:val="0A8A390D"/>
    <w:rsid w:val="0AA1673B"/>
    <w:rsid w:val="0AA90B70"/>
    <w:rsid w:val="0AD871D9"/>
    <w:rsid w:val="0ADC11B1"/>
    <w:rsid w:val="0AF65D7F"/>
    <w:rsid w:val="0AF65E10"/>
    <w:rsid w:val="0AF94694"/>
    <w:rsid w:val="0B1442B5"/>
    <w:rsid w:val="0B2456C3"/>
    <w:rsid w:val="0B303030"/>
    <w:rsid w:val="0B5543C5"/>
    <w:rsid w:val="0B755EF2"/>
    <w:rsid w:val="0B9B7889"/>
    <w:rsid w:val="0BAD388F"/>
    <w:rsid w:val="0BBB027E"/>
    <w:rsid w:val="0BD36C34"/>
    <w:rsid w:val="0BD7150A"/>
    <w:rsid w:val="0BE2685B"/>
    <w:rsid w:val="0C060A1D"/>
    <w:rsid w:val="0C2E1201"/>
    <w:rsid w:val="0C305336"/>
    <w:rsid w:val="0C3F607C"/>
    <w:rsid w:val="0C4A0D7D"/>
    <w:rsid w:val="0C4A4D77"/>
    <w:rsid w:val="0C4E2F8C"/>
    <w:rsid w:val="0C58211D"/>
    <w:rsid w:val="0C5E088E"/>
    <w:rsid w:val="0CA37CC2"/>
    <w:rsid w:val="0CC16247"/>
    <w:rsid w:val="0CCC40ED"/>
    <w:rsid w:val="0CDA6704"/>
    <w:rsid w:val="0CF369C3"/>
    <w:rsid w:val="0D3112F1"/>
    <w:rsid w:val="0D5A5E7A"/>
    <w:rsid w:val="0D7C6854"/>
    <w:rsid w:val="0D8E4A18"/>
    <w:rsid w:val="0DFB1017"/>
    <w:rsid w:val="0DFF1591"/>
    <w:rsid w:val="0DFF205C"/>
    <w:rsid w:val="0E061B66"/>
    <w:rsid w:val="0E067283"/>
    <w:rsid w:val="0E0D58BA"/>
    <w:rsid w:val="0E1019EA"/>
    <w:rsid w:val="0E5B739E"/>
    <w:rsid w:val="0E68206B"/>
    <w:rsid w:val="0E85484E"/>
    <w:rsid w:val="0E996DB5"/>
    <w:rsid w:val="0EEE0658"/>
    <w:rsid w:val="0F004823"/>
    <w:rsid w:val="0F252A4B"/>
    <w:rsid w:val="0F4134DC"/>
    <w:rsid w:val="0F8F0D59"/>
    <w:rsid w:val="0FBE3FC1"/>
    <w:rsid w:val="100119EE"/>
    <w:rsid w:val="101127EF"/>
    <w:rsid w:val="102C4235"/>
    <w:rsid w:val="10910E09"/>
    <w:rsid w:val="10AA58FA"/>
    <w:rsid w:val="10B47090"/>
    <w:rsid w:val="10F80CE6"/>
    <w:rsid w:val="110E083D"/>
    <w:rsid w:val="11197DCC"/>
    <w:rsid w:val="111F2B19"/>
    <w:rsid w:val="11315D23"/>
    <w:rsid w:val="11362F00"/>
    <w:rsid w:val="11397047"/>
    <w:rsid w:val="115327F4"/>
    <w:rsid w:val="116204E0"/>
    <w:rsid w:val="119153AE"/>
    <w:rsid w:val="1196758E"/>
    <w:rsid w:val="11A541B3"/>
    <w:rsid w:val="11B2040F"/>
    <w:rsid w:val="11C70EE4"/>
    <w:rsid w:val="11D23397"/>
    <w:rsid w:val="11FB5C05"/>
    <w:rsid w:val="120253D5"/>
    <w:rsid w:val="12041361"/>
    <w:rsid w:val="1255603E"/>
    <w:rsid w:val="125856BB"/>
    <w:rsid w:val="127773F1"/>
    <w:rsid w:val="128F1602"/>
    <w:rsid w:val="12987112"/>
    <w:rsid w:val="12B55C51"/>
    <w:rsid w:val="12BE4DE1"/>
    <w:rsid w:val="12C72A17"/>
    <w:rsid w:val="12EF778B"/>
    <w:rsid w:val="1310193B"/>
    <w:rsid w:val="133B6A25"/>
    <w:rsid w:val="134D1AEA"/>
    <w:rsid w:val="135F5CA2"/>
    <w:rsid w:val="137342B3"/>
    <w:rsid w:val="138228A6"/>
    <w:rsid w:val="13946E62"/>
    <w:rsid w:val="13BB6257"/>
    <w:rsid w:val="13D42880"/>
    <w:rsid w:val="13E33F47"/>
    <w:rsid w:val="13E97476"/>
    <w:rsid w:val="145F6799"/>
    <w:rsid w:val="14710861"/>
    <w:rsid w:val="14817F98"/>
    <w:rsid w:val="14836844"/>
    <w:rsid w:val="14950DA5"/>
    <w:rsid w:val="14E01A63"/>
    <w:rsid w:val="14EB1C03"/>
    <w:rsid w:val="151A28C4"/>
    <w:rsid w:val="151D37B8"/>
    <w:rsid w:val="15284D87"/>
    <w:rsid w:val="152C44F1"/>
    <w:rsid w:val="152E7175"/>
    <w:rsid w:val="15326572"/>
    <w:rsid w:val="154230D9"/>
    <w:rsid w:val="157967E7"/>
    <w:rsid w:val="15DD2125"/>
    <w:rsid w:val="15E676E2"/>
    <w:rsid w:val="15E725EE"/>
    <w:rsid w:val="16261599"/>
    <w:rsid w:val="16307CB6"/>
    <w:rsid w:val="165211B9"/>
    <w:rsid w:val="16561BF6"/>
    <w:rsid w:val="16D97F21"/>
    <w:rsid w:val="16E97A9E"/>
    <w:rsid w:val="17011AF7"/>
    <w:rsid w:val="17016D54"/>
    <w:rsid w:val="1718715C"/>
    <w:rsid w:val="1727538E"/>
    <w:rsid w:val="17353138"/>
    <w:rsid w:val="175A65E8"/>
    <w:rsid w:val="176E6589"/>
    <w:rsid w:val="179D08EB"/>
    <w:rsid w:val="17BB1E04"/>
    <w:rsid w:val="181000CB"/>
    <w:rsid w:val="181A325C"/>
    <w:rsid w:val="1834516C"/>
    <w:rsid w:val="18793B0E"/>
    <w:rsid w:val="1882169D"/>
    <w:rsid w:val="188831C0"/>
    <w:rsid w:val="18884545"/>
    <w:rsid w:val="188F79AD"/>
    <w:rsid w:val="18B7545E"/>
    <w:rsid w:val="18B9351C"/>
    <w:rsid w:val="18E02C8F"/>
    <w:rsid w:val="19012FE9"/>
    <w:rsid w:val="19134A90"/>
    <w:rsid w:val="192B4E46"/>
    <w:rsid w:val="19314AA5"/>
    <w:rsid w:val="19317724"/>
    <w:rsid w:val="193F35D6"/>
    <w:rsid w:val="194A774A"/>
    <w:rsid w:val="194D79BA"/>
    <w:rsid w:val="19727D31"/>
    <w:rsid w:val="1978558C"/>
    <w:rsid w:val="19896294"/>
    <w:rsid w:val="19927885"/>
    <w:rsid w:val="19A35B60"/>
    <w:rsid w:val="19AD39A3"/>
    <w:rsid w:val="19D92463"/>
    <w:rsid w:val="1A3453C7"/>
    <w:rsid w:val="1A7D0845"/>
    <w:rsid w:val="1A7F1D7E"/>
    <w:rsid w:val="1A93276A"/>
    <w:rsid w:val="1A9629F2"/>
    <w:rsid w:val="1AA52903"/>
    <w:rsid w:val="1AB24D72"/>
    <w:rsid w:val="1AC800EE"/>
    <w:rsid w:val="1AF35C94"/>
    <w:rsid w:val="1AFA5026"/>
    <w:rsid w:val="1B4632DB"/>
    <w:rsid w:val="1B4A3310"/>
    <w:rsid w:val="1B527F6D"/>
    <w:rsid w:val="1B6B3610"/>
    <w:rsid w:val="1B7A21A1"/>
    <w:rsid w:val="1B7E6CC9"/>
    <w:rsid w:val="1B965141"/>
    <w:rsid w:val="1BB87EE4"/>
    <w:rsid w:val="1BCA4DEA"/>
    <w:rsid w:val="1C096AA1"/>
    <w:rsid w:val="1C1147C7"/>
    <w:rsid w:val="1C872CDB"/>
    <w:rsid w:val="1CD56053"/>
    <w:rsid w:val="1CD64FCE"/>
    <w:rsid w:val="1CE53A93"/>
    <w:rsid w:val="1CFD5478"/>
    <w:rsid w:val="1D204054"/>
    <w:rsid w:val="1D2D27A4"/>
    <w:rsid w:val="1D6D4A66"/>
    <w:rsid w:val="1DA2081A"/>
    <w:rsid w:val="1DF83E91"/>
    <w:rsid w:val="1E1E4F79"/>
    <w:rsid w:val="1E4045E4"/>
    <w:rsid w:val="1E7B6870"/>
    <w:rsid w:val="1E844D84"/>
    <w:rsid w:val="1E8B2F11"/>
    <w:rsid w:val="1E9171B2"/>
    <w:rsid w:val="1EA83EC1"/>
    <w:rsid w:val="1EAA4937"/>
    <w:rsid w:val="1EBC5617"/>
    <w:rsid w:val="1EDD22E7"/>
    <w:rsid w:val="1EDF02EC"/>
    <w:rsid w:val="1EF57C82"/>
    <w:rsid w:val="1EF94E22"/>
    <w:rsid w:val="1EFC2D62"/>
    <w:rsid w:val="1EFE4483"/>
    <w:rsid w:val="1EFF124F"/>
    <w:rsid w:val="1F0D4FE5"/>
    <w:rsid w:val="1F216A4B"/>
    <w:rsid w:val="1F7B7C84"/>
    <w:rsid w:val="1FAA7B63"/>
    <w:rsid w:val="1FF02AA1"/>
    <w:rsid w:val="1FFA686A"/>
    <w:rsid w:val="1FFB17B7"/>
    <w:rsid w:val="200446BB"/>
    <w:rsid w:val="2008566C"/>
    <w:rsid w:val="20523790"/>
    <w:rsid w:val="20532F76"/>
    <w:rsid w:val="2054207F"/>
    <w:rsid w:val="2073324F"/>
    <w:rsid w:val="207C6EDC"/>
    <w:rsid w:val="208A50F8"/>
    <w:rsid w:val="209B63CC"/>
    <w:rsid w:val="20AE4D64"/>
    <w:rsid w:val="20B0387C"/>
    <w:rsid w:val="20CD132A"/>
    <w:rsid w:val="20D02B87"/>
    <w:rsid w:val="211A703C"/>
    <w:rsid w:val="21216BE9"/>
    <w:rsid w:val="21B21E49"/>
    <w:rsid w:val="21F3657B"/>
    <w:rsid w:val="22130116"/>
    <w:rsid w:val="22610BC9"/>
    <w:rsid w:val="226D042D"/>
    <w:rsid w:val="22971D30"/>
    <w:rsid w:val="22BF67AD"/>
    <w:rsid w:val="22FA1E99"/>
    <w:rsid w:val="23222A9E"/>
    <w:rsid w:val="23242E0D"/>
    <w:rsid w:val="23290086"/>
    <w:rsid w:val="234179D0"/>
    <w:rsid w:val="234B6118"/>
    <w:rsid w:val="23775858"/>
    <w:rsid w:val="238250E6"/>
    <w:rsid w:val="238B0807"/>
    <w:rsid w:val="238F5235"/>
    <w:rsid w:val="239D0DD9"/>
    <w:rsid w:val="23CC0263"/>
    <w:rsid w:val="23E17C07"/>
    <w:rsid w:val="24014372"/>
    <w:rsid w:val="24145822"/>
    <w:rsid w:val="243F4D56"/>
    <w:rsid w:val="24414364"/>
    <w:rsid w:val="244478F4"/>
    <w:rsid w:val="247B073A"/>
    <w:rsid w:val="24A04C31"/>
    <w:rsid w:val="24B02BDA"/>
    <w:rsid w:val="24B21E13"/>
    <w:rsid w:val="24CA4591"/>
    <w:rsid w:val="2510596F"/>
    <w:rsid w:val="2521323F"/>
    <w:rsid w:val="253061A9"/>
    <w:rsid w:val="25482FE0"/>
    <w:rsid w:val="257230D5"/>
    <w:rsid w:val="259435F9"/>
    <w:rsid w:val="25A44134"/>
    <w:rsid w:val="25DC46BE"/>
    <w:rsid w:val="25E40D22"/>
    <w:rsid w:val="25E41B55"/>
    <w:rsid w:val="25E647BB"/>
    <w:rsid w:val="25E817E2"/>
    <w:rsid w:val="26310ADB"/>
    <w:rsid w:val="264B6F29"/>
    <w:rsid w:val="266E403B"/>
    <w:rsid w:val="267F3779"/>
    <w:rsid w:val="268559B2"/>
    <w:rsid w:val="269F6C33"/>
    <w:rsid w:val="26E809CD"/>
    <w:rsid w:val="26EB511C"/>
    <w:rsid w:val="272171E6"/>
    <w:rsid w:val="275E5211"/>
    <w:rsid w:val="27646616"/>
    <w:rsid w:val="27F9665F"/>
    <w:rsid w:val="280C0AD1"/>
    <w:rsid w:val="280C3AAD"/>
    <w:rsid w:val="281F3B31"/>
    <w:rsid w:val="282D2F84"/>
    <w:rsid w:val="282F60FA"/>
    <w:rsid w:val="28757900"/>
    <w:rsid w:val="28AA3100"/>
    <w:rsid w:val="28EA63B5"/>
    <w:rsid w:val="290C527E"/>
    <w:rsid w:val="290F1CEF"/>
    <w:rsid w:val="29126A40"/>
    <w:rsid w:val="29172C3D"/>
    <w:rsid w:val="292A6F0D"/>
    <w:rsid w:val="294D62C3"/>
    <w:rsid w:val="29751D33"/>
    <w:rsid w:val="297846C8"/>
    <w:rsid w:val="29786B0E"/>
    <w:rsid w:val="297A1C81"/>
    <w:rsid w:val="29B544CB"/>
    <w:rsid w:val="29D60DFE"/>
    <w:rsid w:val="2A0E0C0E"/>
    <w:rsid w:val="2A176E5A"/>
    <w:rsid w:val="2A1D741D"/>
    <w:rsid w:val="2A255F32"/>
    <w:rsid w:val="2A306128"/>
    <w:rsid w:val="2A3569EE"/>
    <w:rsid w:val="2A5D0BE6"/>
    <w:rsid w:val="2A5E77DF"/>
    <w:rsid w:val="2A6E4C53"/>
    <w:rsid w:val="2A7445E1"/>
    <w:rsid w:val="2A7C33D9"/>
    <w:rsid w:val="2AAD1589"/>
    <w:rsid w:val="2ABF5DC4"/>
    <w:rsid w:val="2AD66DC8"/>
    <w:rsid w:val="2AF12EA2"/>
    <w:rsid w:val="2B3714C9"/>
    <w:rsid w:val="2B6C30E4"/>
    <w:rsid w:val="2B6F39F7"/>
    <w:rsid w:val="2B7B25FE"/>
    <w:rsid w:val="2B817EA8"/>
    <w:rsid w:val="2BC03EAE"/>
    <w:rsid w:val="2BC53A0F"/>
    <w:rsid w:val="2BC713E7"/>
    <w:rsid w:val="2BC82BD4"/>
    <w:rsid w:val="2BDB08D4"/>
    <w:rsid w:val="2BDD46C6"/>
    <w:rsid w:val="2BE2483F"/>
    <w:rsid w:val="2BF728D6"/>
    <w:rsid w:val="2C1252BE"/>
    <w:rsid w:val="2C1A7F7C"/>
    <w:rsid w:val="2C573936"/>
    <w:rsid w:val="2CAD5E46"/>
    <w:rsid w:val="2CF70B02"/>
    <w:rsid w:val="2D167098"/>
    <w:rsid w:val="2D4F7AED"/>
    <w:rsid w:val="2D71146E"/>
    <w:rsid w:val="2D880661"/>
    <w:rsid w:val="2DBB56A8"/>
    <w:rsid w:val="2DDF4725"/>
    <w:rsid w:val="2DE665E8"/>
    <w:rsid w:val="2DFA1068"/>
    <w:rsid w:val="2E4245CE"/>
    <w:rsid w:val="2E524B68"/>
    <w:rsid w:val="2E7813E8"/>
    <w:rsid w:val="2E8A00FD"/>
    <w:rsid w:val="2EA64120"/>
    <w:rsid w:val="2F067FB6"/>
    <w:rsid w:val="2F18005F"/>
    <w:rsid w:val="2F1E4D34"/>
    <w:rsid w:val="2F3E2B5F"/>
    <w:rsid w:val="2F4D5B32"/>
    <w:rsid w:val="2F7F7991"/>
    <w:rsid w:val="2F842669"/>
    <w:rsid w:val="2FD359F9"/>
    <w:rsid w:val="2FD815FA"/>
    <w:rsid w:val="2FE8509F"/>
    <w:rsid w:val="2FFD5F5D"/>
    <w:rsid w:val="2FFF5F8C"/>
    <w:rsid w:val="301D66BD"/>
    <w:rsid w:val="30264F15"/>
    <w:rsid w:val="302D4EEC"/>
    <w:rsid w:val="30A6037F"/>
    <w:rsid w:val="30AA74AD"/>
    <w:rsid w:val="30B36AE4"/>
    <w:rsid w:val="30D92FB5"/>
    <w:rsid w:val="30DC3AAA"/>
    <w:rsid w:val="30E80018"/>
    <w:rsid w:val="310E1060"/>
    <w:rsid w:val="314362E6"/>
    <w:rsid w:val="31490769"/>
    <w:rsid w:val="315D23CC"/>
    <w:rsid w:val="316073F8"/>
    <w:rsid w:val="317F3A60"/>
    <w:rsid w:val="31942B43"/>
    <w:rsid w:val="319565F9"/>
    <w:rsid w:val="31B71D2B"/>
    <w:rsid w:val="31E46AD3"/>
    <w:rsid w:val="31F864A1"/>
    <w:rsid w:val="32012BFC"/>
    <w:rsid w:val="322B0307"/>
    <w:rsid w:val="32335040"/>
    <w:rsid w:val="324F77F8"/>
    <w:rsid w:val="325D0058"/>
    <w:rsid w:val="329A72E1"/>
    <w:rsid w:val="32A00C08"/>
    <w:rsid w:val="32A36583"/>
    <w:rsid w:val="32A8398C"/>
    <w:rsid w:val="33122EA7"/>
    <w:rsid w:val="331F5BBE"/>
    <w:rsid w:val="33206E73"/>
    <w:rsid w:val="333464B6"/>
    <w:rsid w:val="33C72D60"/>
    <w:rsid w:val="34054907"/>
    <w:rsid w:val="343E71D5"/>
    <w:rsid w:val="34591C3B"/>
    <w:rsid w:val="346B61F2"/>
    <w:rsid w:val="347B69A8"/>
    <w:rsid w:val="34847DD4"/>
    <w:rsid w:val="348C5A84"/>
    <w:rsid w:val="34AC0058"/>
    <w:rsid w:val="34BB18E5"/>
    <w:rsid w:val="34CC7F76"/>
    <w:rsid w:val="34FC6565"/>
    <w:rsid w:val="350C2DB5"/>
    <w:rsid w:val="35181ABF"/>
    <w:rsid w:val="351F78D1"/>
    <w:rsid w:val="35297777"/>
    <w:rsid w:val="35802873"/>
    <w:rsid w:val="35850530"/>
    <w:rsid w:val="35B00FE9"/>
    <w:rsid w:val="35BE3871"/>
    <w:rsid w:val="363A0D8F"/>
    <w:rsid w:val="365F6365"/>
    <w:rsid w:val="366E6130"/>
    <w:rsid w:val="367554E4"/>
    <w:rsid w:val="36A823AB"/>
    <w:rsid w:val="36E742BC"/>
    <w:rsid w:val="36EE3E46"/>
    <w:rsid w:val="36F51E14"/>
    <w:rsid w:val="371B6F58"/>
    <w:rsid w:val="374057AF"/>
    <w:rsid w:val="377B1BD4"/>
    <w:rsid w:val="37A479AF"/>
    <w:rsid w:val="37C87F64"/>
    <w:rsid w:val="37CD1D6B"/>
    <w:rsid w:val="37DC7BD8"/>
    <w:rsid w:val="37E95D88"/>
    <w:rsid w:val="37EB60DF"/>
    <w:rsid w:val="380D162F"/>
    <w:rsid w:val="381E7D37"/>
    <w:rsid w:val="38204283"/>
    <w:rsid w:val="38545275"/>
    <w:rsid w:val="38600A1B"/>
    <w:rsid w:val="38616F1D"/>
    <w:rsid w:val="387326EF"/>
    <w:rsid w:val="38DF32A5"/>
    <w:rsid w:val="38FF3ECD"/>
    <w:rsid w:val="393128D6"/>
    <w:rsid w:val="394F0285"/>
    <w:rsid w:val="396B097A"/>
    <w:rsid w:val="39763F29"/>
    <w:rsid w:val="39A20CFD"/>
    <w:rsid w:val="39AA02FF"/>
    <w:rsid w:val="39E9692C"/>
    <w:rsid w:val="3A284BB1"/>
    <w:rsid w:val="3A596CEF"/>
    <w:rsid w:val="3A8E028C"/>
    <w:rsid w:val="3A923363"/>
    <w:rsid w:val="3AC6591D"/>
    <w:rsid w:val="3AFD149F"/>
    <w:rsid w:val="3B035435"/>
    <w:rsid w:val="3B1C0B6E"/>
    <w:rsid w:val="3B3602DD"/>
    <w:rsid w:val="3B61597B"/>
    <w:rsid w:val="3B787F08"/>
    <w:rsid w:val="3B9432E4"/>
    <w:rsid w:val="3BAC7F47"/>
    <w:rsid w:val="3BF61194"/>
    <w:rsid w:val="3BF82ECA"/>
    <w:rsid w:val="3C13650D"/>
    <w:rsid w:val="3C157F81"/>
    <w:rsid w:val="3C426902"/>
    <w:rsid w:val="3C4313CD"/>
    <w:rsid w:val="3C553232"/>
    <w:rsid w:val="3CC750D2"/>
    <w:rsid w:val="3CEB4805"/>
    <w:rsid w:val="3D054181"/>
    <w:rsid w:val="3D320B26"/>
    <w:rsid w:val="3D440355"/>
    <w:rsid w:val="3D5148BA"/>
    <w:rsid w:val="3D821395"/>
    <w:rsid w:val="3D835A04"/>
    <w:rsid w:val="3DAF507D"/>
    <w:rsid w:val="3DDB3E63"/>
    <w:rsid w:val="3E051F47"/>
    <w:rsid w:val="3E101F27"/>
    <w:rsid w:val="3E216694"/>
    <w:rsid w:val="3E2A1172"/>
    <w:rsid w:val="3E2E525C"/>
    <w:rsid w:val="3E5A54F8"/>
    <w:rsid w:val="3E76638E"/>
    <w:rsid w:val="3E8C1B05"/>
    <w:rsid w:val="3E920795"/>
    <w:rsid w:val="3EFE1A24"/>
    <w:rsid w:val="3F1C1E75"/>
    <w:rsid w:val="3F2C4750"/>
    <w:rsid w:val="3F414D6B"/>
    <w:rsid w:val="3F5405D9"/>
    <w:rsid w:val="3F8B3ED6"/>
    <w:rsid w:val="3F9E6688"/>
    <w:rsid w:val="3FB12DDB"/>
    <w:rsid w:val="3FD846AB"/>
    <w:rsid w:val="3FE7116A"/>
    <w:rsid w:val="40034E8C"/>
    <w:rsid w:val="40207594"/>
    <w:rsid w:val="40476412"/>
    <w:rsid w:val="407B5B4B"/>
    <w:rsid w:val="4084115C"/>
    <w:rsid w:val="40846680"/>
    <w:rsid w:val="40A62923"/>
    <w:rsid w:val="40BE6480"/>
    <w:rsid w:val="40E92CD7"/>
    <w:rsid w:val="40EE65DC"/>
    <w:rsid w:val="411B386E"/>
    <w:rsid w:val="413D134B"/>
    <w:rsid w:val="41734954"/>
    <w:rsid w:val="41CB5A8E"/>
    <w:rsid w:val="41CD0576"/>
    <w:rsid w:val="42001776"/>
    <w:rsid w:val="420502FC"/>
    <w:rsid w:val="42293142"/>
    <w:rsid w:val="42310E70"/>
    <w:rsid w:val="424065C9"/>
    <w:rsid w:val="424D2825"/>
    <w:rsid w:val="427631D5"/>
    <w:rsid w:val="42AB4175"/>
    <w:rsid w:val="42EC0498"/>
    <w:rsid w:val="42EE5405"/>
    <w:rsid w:val="42F77DB2"/>
    <w:rsid w:val="431E145C"/>
    <w:rsid w:val="432B58BC"/>
    <w:rsid w:val="43301127"/>
    <w:rsid w:val="436C1C65"/>
    <w:rsid w:val="436E489F"/>
    <w:rsid w:val="437F67C7"/>
    <w:rsid w:val="438039FD"/>
    <w:rsid w:val="43846C67"/>
    <w:rsid w:val="43991ECE"/>
    <w:rsid w:val="440525B4"/>
    <w:rsid w:val="44182BFA"/>
    <w:rsid w:val="442456F7"/>
    <w:rsid w:val="446A0812"/>
    <w:rsid w:val="44824678"/>
    <w:rsid w:val="449562C2"/>
    <w:rsid w:val="449B0822"/>
    <w:rsid w:val="449B251C"/>
    <w:rsid w:val="44BC11EE"/>
    <w:rsid w:val="44C6570C"/>
    <w:rsid w:val="44C95F62"/>
    <w:rsid w:val="451652A8"/>
    <w:rsid w:val="45225C85"/>
    <w:rsid w:val="45271423"/>
    <w:rsid w:val="45306731"/>
    <w:rsid w:val="45313995"/>
    <w:rsid w:val="453B3F53"/>
    <w:rsid w:val="454B48C7"/>
    <w:rsid w:val="457101E5"/>
    <w:rsid w:val="457C4B03"/>
    <w:rsid w:val="45B87682"/>
    <w:rsid w:val="46153DD9"/>
    <w:rsid w:val="467D46CC"/>
    <w:rsid w:val="46890D35"/>
    <w:rsid w:val="46DC7AF7"/>
    <w:rsid w:val="46E754D8"/>
    <w:rsid w:val="46F8012D"/>
    <w:rsid w:val="47140325"/>
    <w:rsid w:val="47397233"/>
    <w:rsid w:val="473C03BA"/>
    <w:rsid w:val="474A6DAC"/>
    <w:rsid w:val="47BF3B80"/>
    <w:rsid w:val="481C6D19"/>
    <w:rsid w:val="48331B03"/>
    <w:rsid w:val="48860D1B"/>
    <w:rsid w:val="48A35DF0"/>
    <w:rsid w:val="491D3E29"/>
    <w:rsid w:val="49281852"/>
    <w:rsid w:val="49545A1F"/>
    <w:rsid w:val="49555633"/>
    <w:rsid w:val="495734D1"/>
    <w:rsid w:val="49811E6F"/>
    <w:rsid w:val="498126DD"/>
    <w:rsid w:val="49D56665"/>
    <w:rsid w:val="4A072498"/>
    <w:rsid w:val="4A4A6F73"/>
    <w:rsid w:val="4A870C55"/>
    <w:rsid w:val="4A89083C"/>
    <w:rsid w:val="4A9C7106"/>
    <w:rsid w:val="4AC2068B"/>
    <w:rsid w:val="4ADD4351"/>
    <w:rsid w:val="4AF237BA"/>
    <w:rsid w:val="4AFE50CA"/>
    <w:rsid w:val="4B007631"/>
    <w:rsid w:val="4B381153"/>
    <w:rsid w:val="4B4420B1"/>
    <w:rsid w:val="4B5672C6"/>
    <w:rsid w:val="4B7B71B2"/>
    <w:rsid w:val="4BA87148"/>
    <w:rsid w:val="4BAD60A9"/>
    <w:rsid w:val="4BD90385"/>
    <w:rsid w:val="4BF7554D"/>
    <w:rsid w:val="4BFF1FAD"/>
    <w:rsid w:val="4C147838"/>
    <w:rsid w:val="4C253123"/>
    <w:rsid w:val="4C575324"/>
    <w:rsid w:val="4C611FD5"/>
    <w:rsid w:val="4C687B84"/>
    <w:rsid w:val="4C7A5358"/>
    <w:rsid w:val="4C954D37"/>
    <w:rsid w:val="4CA7723E"/>
    <w:rsid w:val="4CC77FFC"/>
    <w:rsid w:val="4CF11A34"/>
    <w:rsid w:val="4CF453B7"/>
    <w:rsid w:val="4D244F58"/>
    <w:rsid w:val="4D81203C"/>
    <w:rsid w:val="4DA25394"/>
    <w:rsid w:val="4DA54844"/>
    <w:rsid w:val="4DA73382"/>
    <w:rsid w:val="4DB312DC"/>
    <w:rsid w:val="4DCF6871"/>
    <w:rsid w:val="4DE51079"/>
    <w:rsid w:val="4DE85357"/>
    <w:rsid w:val="4E7749FB"/>
    <w:rsid w:val="4E781808"/>
    <w:rsid w:val="4EA506D4"/>
    <w:rsid w:val="4EB570D6"/>
    <w:rsid w:val="4EDE7A1D"/>
    <w:rsid w:val="4EF61477"/>
    <w:rsid w:val="4EF676C9"/>
    <w:rsid w:val="4EFF1882"/>
    <w:rsid w:val="4F0E06EF"/>
    <w:rsid w:val="4F487C7B"/>
    <w:rsid w:val="4F7A20A8"/>
    <w:rsid w:val="4F9E4E9A"/>
    <w:rsid w:val="4FA03191"/>
    <w:rsid w:val="4FA87474"/>
    <w:rsid w:val="4FC079BF"/>
    <w:rsid w:val="4FDB3FC3"/>
    <w:rsid w:val="4FE22135"/>
    <w:rsid w:val="4FE3400D"/>
    <w:rsid w:val="4FEC1F7D"/>
    <w:rsid w:val="501A4416"/>
    <w:rsid w:val="501B0CF8"/>
    <w:rsid w:val="5035107D"/>
    <w:rsid w:val="50435D00"/>
    <w:rsid w:val="50590586"/>
    <w:rsid w:val="509D2829"/>
    <w:rsid w:val="50A12E4A"/>
    <w:rsid w:val="50AB0883"/>
    <w:rsid w:val="50D26409"/>
    <w:rsid w:val="50DA0826"/>
    <w:rsid w:val="50DA577A"/>
    <w:rsid w:val="50E929C7"/>
    <w:rsid w:val="50EA55EC"/>
    <w:rsid w:val="50F10779"/>
    <w:rsid w:val="51067F5A"/>
    <w:rsid w:val="511D0EE3"/>
    <w:rsid w:val="512308F3"/>
    <w:rsid w:val="512A3EA9"/>
    <w:rsid w:val="51351856"/>
    <w:rsid w:val="513B0679"/>
    <w:rsid w:val="51992FAE"/>
    <w:rsid w:val="51BC780D"/>
    <w:rsid w:val="51E75C4A"/>
    <w:rsid w:val="51ED7B9B"/>
    <w:rsid w:val="52135E9E"/>
    <w:rsid w:val="52210B95"/>
    <w:rsid w:val="52297D26"/>
    <w:rsid w:val="52334072"/>
    <w:rsid w:val="523E6BC9"/>
    <w:rsid w:val="52900819"/>
    <w:rsid w:val="5309169A"/>
    <w:rsid w:val="531D0413"/>
    <w:rsid w:val="53492E20"/>
    <w:rsid w:val="53496FFE"/>
    <w:rsid w:val="5385160E"/>
    <w:rsid w:val="538B5C8C"/>
    <w:rsid w:val="53911DE9"/>
    <w:rsid w:val="539D7082"/>
    <w:rsid w:val="53A106A3"/>
    <w:rsid w:val="53BA2838"/>
    <w:rsid w:val="5422243B"/>
    <w:rsid w:val="54374074"/>
    <w:rsid w:val="546B1B9A"/>
    <w:rsid w:val="54813886"/>
    <w:rsid w:val="54817A35"/>
    <w:rsid w:val="54856A49"/>
    <w:rsid w:val="548C6843"/>
    <w:rsid w:val="54A92045"/>
    <w:rsid w:val="54D03D98"/>
    <w:rsid w:val="54F750A8"/>
    <w:rsid w:val="55190D37"/>
    <w:rsid w:val="5540180C"/>
    <w:rsid w:val="556E78AD"/>
    <w:rsid w:val="55894DF3"/>
    <w:rsid w:val="55BB78A8"/>
    <w:rsid w:val="55C66E9A"/>
    <w:rsid w:val="55CB79A7"/>
    <w:rsid w:val="55CF0C66"/>
    <w:rsid w:val="56004ECA"/>
    <w:rsid w:val="56121F5E"/>
    <w:rsid w:val="563567D0"/>
    <w:rsid w:val="56497354"/>
    <w:rsid w:val="5660136B"/>
    <w:rsid w:val="56784F2E"/>
    <w:rsid w:val="56BE7921"/>
    <w:rsid w:val="56FB205F"/>
    <w:rsid w:val="57230339"/>
    <w:rsid w:val="57756FDC"/>
    <w:rsid w:val="57852006"/>
    <w:rsid w:val="579E2B6E"/>
    <w:rsid w:val="57CA524F"/>
    <w:rsid w:val="57EB5B3D"/>
    <w:rsid w:val="581705D9"/>
    <w:rsid w:val="581A19A0"/>
    <w:rsid w:val="581F559B"/>
    <w:rsid w:val="58375678"/>
    <w:rsid w:val="58396983"/>
    <w:rsid w:val="589B20E7"/>
    <w:rsid w:val="58AA2ED9"/>
    <w:rsid w:val="58F25481"/>
    <w:rsid w:val="58F7528F"/>
    <w:rsid w:val="590706AA"/>
    <w:rsid w:val="592D0CA1"/>
    <w:rsid w:val="597162CA"/>
    <w:rsid w:val="59966557"/>
    <w:rsid w:val="59A321FB"/>
    <w:rsid w:val="59C93469"/>
    <w:rsid w:val="59DB4D16"/>
    <w:rsid w:val="59EF2D2D"/>
    <w:rsid w:val="59F65B70"/>
    <w:rsid w:val="5A240093"/>
    <w:rsid w:val="5A253572"/>
    <w:rsid w:val="5A276825"/>
    <w:rsid w:val="5A3B500C"/>
    <w:rsid w:val="5A4A3296"/>
    <w:rsid w:val="5A571569"/>
    <w:rsid w:val="5A66184A"/>
    <w:rsid w:val="5A7D54A8"/>
    <w:rsid w:val="5A9A5BD8"/>
    <w:rsid w:val="5AC03644"/>
    <w:rsid w:val="5AE47471"/>
    <w:rsid w:val="5B1A44A4"/>
    <w:rsid w:val="5B490D62"/>
    <w:rsid w:val="5B747BB4"/>
    <w:rsid w:val="5B7644D9"/>
    <w:rsid w:val="5B8322E4"/>
    <w:rsid w:val="5B85528C"/>
    <w:rsid w:val="5BBE0502"/>
    <w:rsid w:val="5BC3729A"/>
    <w:rsid w:val="5BDD3B5A"/>
    <w:rsid w:val="5BE00234"/>
    <w:rsid w:val="5BE40467"/>
    <w:rsid w:val="5BF963C6"/>
    <w:rsid w:val="5C0927D4"/>
    <w:rsid w:val="5C5A5D5F"/>
    <w:rsid w:val="5C8311ED"/>
    <w:rsid w:val="5C8C6E45"/>
    <w:rsid w:val="5C8F1E71"/>
    <w:rsid w:val="5CA46825"/>
    <w:rsid w:val="5CA57360"/>
    <w:rsid w:val="5CB83B68"/>
    <w:rsid w:val="5CF526AD"/>
    <w:rsid w:val="5D031354"/>
    <w:rsid w:val="5D1256CE"/>
    <w:rsid w:val="5D6648D9"/>
    <w:rsid w:val="5D855D1C"/>
    <w:rsid w:val="5D8812E2"/>
    <w:rsid w:val="5D924A61"/>
    <w:rsid w:val="5DE51216"/>
    <w:rsid w:val="5DED6E91"/>
    <w:rsid w:val="5E041844"/>
    <w:rsid w:val="5E1E48AC"/>
    <w:rsid w:val="5E420A3F"/>
    <w:rsid w:val="5E5F5834"/>
    <w:rsid w:val="5E732EE1"/>
    <w:rsid w:val="5E7B225D"/>
    <w:rsid w:val="5E9209C4"/>
    <w:rsid w:val="5EC278B8"/>
    <w:rsid w:val="5ED42A92"/>
    <w:rsid w:val="5F053373"/>
    <w:rsid w:val="5F055FAC"/>
    <w:rsid w:val="5F1A23BD"/>
    <w:rsid w:val="5F234E10"/>
    <w:rsid w:val="5F257F36"/>
    <w:rsid w:val="5F324523"/>
    <w:rsid w:val="5F3F29C6"/>
    <w:rsid w:val="5F4511BD"/>
    <w:rsid w:val="5F4539C9"/>
    <w:rsid w:val="5F484B27"/>
    <w:rsid w:val="5F540F41"/>
    <w:rsid w:val="5F67741C"/>
    <w:rsid w:val="5FA30DD6"/>
    <w:rsid w:val="5FB747EB"/>
    <w:rsid w:val="5FBF6BDA"/>
    <w:rsid w:val="5FFA3C16"/>
    <w:rsid w:val="60024AD2"/>
    <w:rsid w:val="6022636D"/>
    <w:rsid w:val="6069790B"/>
    <w:rsid w:val="60D402BB"/>
    <w:rsid w:val="60D55390"/>
    <w:rsid w:val="6122546D"/>
    <w:rsid w:val="614B335F"/>
    <w:rsid w:val="61566196"/>
    <w:rsid w:val="61645325"/>
    <w:rsid w:val="61B3643C"/>
    <w:rsid w:val="61E17D65"/>
    <w:rsid w:val="62051491"/>
    <w:rsid w:val="623532B2"/>
    <w:rsid w:val="625B6E0F"/>
    <w:rsid w:val="6266346F"/>
    <w:rsid w:val="62960B4A"/>
    <w:rsid w:val="62B51D62"/>
    <w:rsid w:val="62BF1E14"/>
    <w:rsid w:val="62C4083F"/>
    <w:rsid w:val="62C91B1A"/>
    <w:rsid w:val="62DB1A18"/>
    <w:rsid w:val="631065BB"/>
    <w:rsid w:val="6330576E"/>
    <w:rsid w:val="638E2DB3"/>
    <w:rsid w:val="638F36EE"/>
    <w:rsid w:val="63901F4D"/>
    <w:rsid w:val="63960810"/>
    <w:rsid w:val="63B34D5F"/>
    <w:rsid w:val="63CB3DC6"/>
    <w:rsid w:val="63D97310"/>
    <w:rsid w:val="64A84A1A"/>
    <w:rsid w:val="64B54B60"/>
    <w:rsid w:val="64D94D23"/>
    <w:rsid w:val="64FB7776"/>
    <w:rsid w:val="65047DE8"/>
    <w:rsid w:val="650E5FD4"/>
    <w:rsid w:val="65233149"/>
    <w:rsid w:val="654E4F3B"/>
    <w:rsid w:val="656C65BE"/>
    <w:rsid w:val="658D4F5E"/>
    <w:rsid w:val="65E202AA"/>
    <w:rsid w:val="65EE63E9"/>
    <w:rsid w:val="65F073B7"/>
    <w:rsid w:val="65F12743"/>
    <w:rsid w:val="65F938CF"/>
    <w:rsid w:val="660E01CF"/>
    <w:rsid w:val="661D3B82"/>
    <w:rsid w:val="66282B89"/>
    <w:rsid w:val="66833E04"/>
    <w:rsid w:val="66905672"/>
    <w:rsid w:val="669B50CD"/>
    <w:rsid w:val="66AE0B57"/>
    <w:rsid w:val="66C11D69"/>
    <w:rsid w:val="66C178A1"/>
    <w:rsid w:val="66DE2DA5"/>
    <w:rsid w:val="66E66DEF"/>
    <w:rsid w:val="66E9022F"/>
    <w:rsid w:val="673023ED"/>
    <w:rsid w:val="67573040"/>
    <w:rsid w:val="676D6AC2"/>
    <w:rsid w:val="677E0166"/>
    <w:rsid w:val="67A959DD"/>
    <w:rsid w:val="67CD2C91"/>
    <w:rsid w:val="67D97B4F"/>
    <w:rsid w:val="67E23030"/>
    <w:rsid w:val="67ED314E"/>
    <w:rsid w:val="682069A0"/>
    <w:rsid w:val="684C144A"/>
    <w:rsid w:val="685E7F2A"/>
    <w:rsid w:val="686D34BE"/>
    <w:rsid w:val="68A51AEC"/>
    <w:rsid w:val="68AE74D7"/>
    <w:rsid w:val="68C02847"/>
    <w:rsid w:val="68D16748"/>
    <w:rsid w:val="68DE0CF5"/>
    <w:rsid w:val="68FA675C"/>
    <w:rsid w:val="691D5D8B"/>
    <w:rsid w:val="69537335"/>
    <w:rsid w:val="695C4FB8"/>
    <w:rsid w:val="696743F4"/>
    <w:rsid w:val="697B69F4"/>
    <w:rsid w:val="69981207"/>
    <w:rsid w:val="69A068A5"/>
    <w:rsid w:val="69A972FF"/>
    <w:rsid w:val="69C01F93"/>
    <w:rsid w:val="69CB37D4"/>
    <w:rsid w:val="6A092F08"/>
    <w:rsid w:val="6A203D93"/>
    <w:rsid w:val="6A3212DD"/>
    <w:rsid w:val="6A35263C"/>
    <w:rsid w:val="6A38126F"/>
    <w:rsid w:val="6A6E0B73"/>
    <w:rsid w:val="6A753D05"/>
    <w:rsid w:val="6A7C3B33"/>
    <w:rsid w:val="6A7E5CB3"/>
    <w:rsid w:val="6A844937"/>
    <w:rsid w:val="6AA91130"/>
    <w:rsid w:val="6AB35FB7"/>
    <w:rsid w:val="6AB86BAA"/>
    <w:rsid w:val="6ADC2A57"/>
    <w:rsid w:val="6B0B6E41"/>
    <w:rsid w:val="6B0D0876"/>
    <w:rsid w:val="6B144E3D"/>
    <w:rsid w:val="6B3005C9"/>
    <w:rsid w:val="6B6D2669"/>
    <w:rsid w:val="6BC563E8"/>
    <w:rsid w:val="6C164E3F"/>
    <w:rsid w:val="6C1D48D2"/>
    <w:rsid w:val="6C1D5E3D"/>
    <w:rsid w:val="6C3F7B62"/>
    <w:rsid w:val="6C5B5847"/>
    <w:rsid w:val="6C6A6238"/>
    <w:rsid w:val="6C702A55"/>
    <w:rsid w:val="6C7F12E2"/>
    <w:rsid w:val="6CB14353"/>
    <w:rsid w:val="6CE1133A"/>
    <w:rsid w:val="6CFC278F"/>
    <w:rsid w:val="6D1C121C"/>
    <w:rsid w:val="6D1D0041"/>
    <w:rsid w:val="6D8368A4"/>
    <w:rsid w:val="6DAD1016"/>
    <w:rsid w:val="6DB826FA"/>
    <w:rsid w:val="6DC9723B"/>
    <w:rsid w:val="6DD15131"/>
    <w:rsid w:val="6E121E82"/>
    <w:rsid w:val="6E2B0493"/>
    <w:rsid w:val="6E3A60F8"/>
    <w:rsid w:val="6E664134"/>
    <w:rsid w:val="6EA87EA5"/>
    <w:rsid w:val="6EAF4A25"/>
    <w:rsid w:val="6EBF249E"/>
    <w:rsid w:val="6EC46A44"/>
    <w:rsid w:val="6EC73E49"/>
    <w:rsid w:val="6ECA7711"/>
    <w:rsid w:val="6EDE5E5B"/>
    <w:rsid w:val="6EE5042A"/>
    <w:rsid w:val="6EF62DE9"/>
    <w:rsid w:val="6F1F5674"/>
    <w:rsid w:val="6F2C157D"/>
    <w:rsid w:val="6F4404C5"/>
    <w:rsid w:val="6F661FE4"/>
    <w:rsid w:val="6F717AF8"/>
    <w:rsid w:val="6FAF3250"/>
    <w:rsid w:val="6FDE5A3C"/>
    <w:rsid w:val="6FE54EC4"/>
    <w:rsid w:val="6FE6726B"/>
    <w:rsid w:val="6FFD49D5"/>
    <w:rsid w:val="70250C6C"/>
    <w:rsid w:val="703B3C1A"/>
    <w:rsid w:val="706968CA"/>
    <w:rsid w:val="70945799"/>
    <w:rsid w:val="70A703CB"/>
    <w:rsid w:val="70E11231"/>
    <w:rsid w:val="70F46F7A"/>
    <w:rsid w:val="71072464"/>
    <w:rsid w:val="710A0712"/>
    <w:rsid w:val="7138369A"/>
    <w:rsid w:val="71435219"/>
    <w:rsid w:val="71570FAB"/>
    <w:rsid w:val="71610F1B"/>
    <w:rsid w:val="71946BA2"/>
    <w:rsid w:val="71AB6C07"/>
    <w:rsid w:val="71BE7E9D"/>
    <w:rsid w:val="71F44F38"/>
    <w:rsid w:val="721970A7"/>
    <w:rsid w:val="723413AB"/>
    <w:rsid w:val="72402885"/>
    <w:rsid w:val="72422791"/>
    <w:rsid w:val="728B1977"/>
    <w:rsid w:val="72945A1B"/>
    <w:rsid w:val="72D94790"/>
    <w:rsid w:val="72E35634"/>
    <w:rsid w:val="72EB0443"/>
    <w:rsid w:val="732C03BE"/>
    <w:rsid w:val="734E7A1D"/>
    <w:rsid w:val="73525A20"/>
    <w:rsid w:val="73783BE7"/>
    <w:rsid w:val="739117FE"/>
    <w:rsid w:val="73A10219"/>
    <w:rsid w:val="73BD7F75"/>
    <w:rsid w:val="73E27605"/>
    <w:rsid w:val="73F04C8A"/>
    <w:rsid w:val="7413163D"/>
    <w:rsid w:val="741522CB"/>
    <w:rsid w:val="74327333"/>
    <w:rsid w:val="74494E20"/>
    <w:rsid w:val="74B91264"/>
    <w:rsid w:val="74BB7635"/>
    <w:rsid w:val="74CD31C8"/>
    <w:rsid w:val="75090106"/>
    <w:rsid w:val="752404C1"/>
    <w:rsid w:val="753820DF"/>
    <w:rsid w:val="7545475D"/>
    <w:rsid w:val="75497CA3"/>
    <w:rsid w:val="754E5A85"/>
    <w:rsid w:val="756E34CB"/>
    <w:rsid w:val="757E31C7"/>
    <w:rsid w:val="759432E3"/>
    <w:rsid w:val="75DD1223"/>
    <w:rsid w:val="75E06F6E"/>
    <w:rsid w:val="76170D05"/>
    <w:rsid w:val="76174D55"/>
    <w:rsid w:val="76184A54"/>
    <w:rsid w:val="76191ECE"/>
    <w:rsid w:val="76320737"/>
    <w:rsid w:val="76453F93"/>
    <w:rsid w:val="767130C2"/>
    <w:rsid w:val="768802BE"/>
    <w:rsid w:val="7691205A"/>
    <w:rsid w:val="769C16AE"/>
    <w:rsid w:val="76A91588"/>
    <w:rsid w:val="76A93D14"/>
    <w:rsid w:val="76C85A2E"/>
    <w:rsid w:val="76EC257D"/>
    <w:rsid w:val="770C38B3"/>
    <w:rsid w:val="773B2752"/>
    <w:rsid w:val="775B6995"/>
    <w:rsid w:val="77781184"/>
    <w:rsid w:val="778A7A9E"/>
    <w:rsid w:val="778B26E3"/>
    <w:rsid w:val="778E16A8"/>
    <w:rsid w:val="77A02952"/>
    <w:rsid w:val="77B04867"/>
    <w:rsid w:val="77B97C1D"/>
    <w:rsid w:val="77D34B77"/>
    <w:rsid w:val="78014865"/>
    <w:rsid w:val="78231089"/>
    <w:rsid w:val="783C4886"/>
    <w:rsid w:val="7864163A"/>
    <w:rsid w:val="786A3CA7"/>
    <w:rsid w:val="78727511"/>
    <w:rsid w:val="788D1EB3"/>
    <w:rsid w:val="78C53A3D"/>
    <w:rsid w:val="78CA4734"/>
    <w:rsid w:val="791169A5"/>
    <w:rsid w:val="79134128"/>
    <w:rsid w:val="79136649"/>
    <w:rsid w:val="79365B98"/>
    <w:rsid w:val="797B4CB2"/>
    <w:rsid w:val="799812FA"/>
    <w:rsid w:val="79DE3134"/>
    <w:rsid w:val="79E300A0"/>
    <w:rsid w:val="79FA0714"/>
    <w:rsid w:val="79FC1626"/>
    <w:rsid w:val="7A8E0604"/>
    <w:rsid w:val="7AB14B52"/>
    <w:rsid w:val="7AB14DB2"/>
    <w:rsid w:val="7B0C0918"/>
    <w:rsid w:val="7B9C6873"/>
    <w:rsid w:val="7BC00E6F"/>
    <w:rsid w:val="7BC15566"/>
    <w:rsid w:val="7C0A0E7A"/>
    <w:rsid w:val="7C2E6F04"/>
    <w:rsid w:val="7C2F19B6"/>
    <w:rsid w:val="7C421C4B"/>
    <w:rsid w:val="7C54027D"/>
    <w:rsid w:val="7C5C650E"/>
    <w:rsid w:val="7C7F6B25"/>
    <w:rsid w:val="7C92500C"/>
    <w:rsid w:val="7CF049E6"/>
    <w:rsid w:val="7D023606"/>
    <w:rsid w:val="7D4551F4"/>
    <w:rsid w:val="7D6A4C5A"/>
    <w:rsid w:val="7D6F2CEF"/>
    <w:rsid w:val="7D83142F"/>
    <w:rsid w:val="7D8B31EC"/>
    <w:rsid w:val="7D9E2D62"/>
    <w:rsid w:val="7DAC4AB3"/>
    <w:rsid w:val="7DE646E6"/>
    <w:rsid w:val="7DEC713D"/>
    <w:rsid w:val="7DF15C0B"/>
    <w:rsid w:val="7E215319"/>
    <w:rsid w:val="7E344208"/>
    <w:rsid w:val="7E407FEA"/>
    <w:rsid w:val="7E4B326C"/>
    <w:rsid w:val="7E524171"/>
    <w:rsid w:val="7E7A7C5E"/>
    <w:rsid w:val="7E9607E8"/>
    <w:rsid w:val="7EB443DF"/>
    <w:rsid w:val="7EB770FE"/>
    <w:rsid w:val="7EDD3C93"/>
    <w:rsid w:val="7EF51CB2"/>
    <w:rsid w:val="7EFC5D86"/>
    <w:rsid w:val="7F46377F"/>
    <w:rsid w:val="7F5833AF"/>
    <w:rsid w:val="7F85196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4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autoSpaceDE w:val="0"/>
      <w:autoSpaceDN w:val="0"/>
      <w:adjustRightInd w:val="0"/>
      <w:ind w:firstLine="420" w:firstLineChars="100"/>
      <w:textAlignment w:val="baseline"/>
    </w:pPr>
    <w:rPr>
      <w:szCs w:val="20"/>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caption"/>
    <w:basedOn w:val="1"/>
    <w:next w:val="1"/>
    <w:semiHidden/>
    <w:unhideWhenUsed/>
    <w:qFormat/>
    <w:uiPriority w:val="0"/>
    <w:pPr>
      <w:spacing w:before="152" w:after="160"/>
    </w:pPr>
    <w:rPr>
      <w:rFonts w:ascii="Arial" w:hAnsi="Arial" w:eastAsia="黑体" w:cs="Arial"/>
      <w:sz w:val="20"/>
      <w:szCs w:val="20"/>
    </w:rPr>
  </w:style>
  <w:style w:type="paragraph" w:styleId="9">
    <w:name w:val="annotation text"/>
    <w:basedOn w:val="1"/>
    <w:link w:val="54"/>
    <w:qFormat/>
    <w:uiPriority w:val="0"/>
    <w:pPr>
      <w:jc w:val="left"/>
    </w:pPr>
  </w:style>
  <w:style w:type="paragraph" w:styleId="10">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Plain Text"/>
    <w:basedOn w:val="1"/>
    <w:next w:val="12"/>
    <w:link w:val="38"/>
    <w:qFormat/>
    <w:uiPriority w:val="99"/>
    <w:rPr>
      <w:rFonts w:ascii="宋体" w:hAnsi="Courier New" w:cstheme="minorBidi"/>
    </w:rPr>
  </w:style>
  <w:style w:type="paragraph" w:styleId="12">
    <w:name w:val="Date"/>
    <w:basedOn w:val="1"/>
    <w:next w:val="1"/>
    <w:qFormat/>
    <w:uiPriority w:val="0"/>
    <w:rPr>
      <w:rFonts w:ascii="宋体"/>
      <w:color w:val="000000"/>
      <w:kern w:val="0"/>
      <w:sz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Balloon Text"/>
    <w:basedOn w:val="1"/>
    <w:link w:val="5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List"/>
    <w:basedOn w:val="1"/>
    <w:qFormat/>
    <w:uiPriority w:val="0"/>
    <w:pPr>
      <w:ind w:left="200" w:hanging="200" w:hangingChars="200"/>
    </w:pPr>
    <w:rPr>
      <w:sz w:val="28"/>
    </w:rPr>
  </w:style>
  <w:style w:type="paragraph" w:styleId="18">
    <w:name w:val="toc 6"/>
    <w:basedOn w:val="1"/>
    <w:next w:val="1"/>
    <w:unhideWhenUsed/>
    <w:qFormat/>
    <w:uiPriority w:val="39"/>
    <w:pPr>
      <w:ind w:left="2100" w:leftChars="1000"/>
    </w:pPr>
    <w:rPr>
      <w:rFonts w:ascii="Calibri" w:hAnsi="Calibri"/>
      <w:szCs w:val="22"/>
    </w:rPr>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link w:val="45"/>
    <w:qFormat/>
    <w:uiPriority w:val="0"/>
    <w:pPr>
      <w:spacing w:before="240" w:after="60"/>
      <w:jc w:val="center"/>
      <w:outlineLvl w:val="0"/>
    </w:pPr>
    <w:rPr>
      <w:rFonts w:asciiTheme="majorHAnsi" w:hAnsiTheme="majorHAnsi" w:cstheme="majorBidi"/>
      <w:b/>
      <w:bCs/>
      <w:sz w:val="32"/>
      <w:szCs w:val="32"/>
    </w:rPr>
  </w:style>
  <w:style w:type="paragraph" w:styleId="22">
    <w:name w:val="annotation subject"/>
    <w:basedOn w:val="9"/>
    <w:next w:val="9"/>
    <w:link w:val="55"/>
    <w:qFormat/>
    <w:uiPriority w:val="0"/>
    <w:rPr>
      <w:b/>
      <w:bCs/>
    </w:rPr>
  </w:style>
  <w:style w:type="paragraph" w:styleId="23">
    <w:name w:val="Body Text First Indent 2"/>
    <w:basedOn w:val="10"/>
    <w:qFormat/>
    <w:uiPriority w:val="0"/>
    <w:pPr>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basedOn w:val="26"/>
    <w:qFormat/>
    <w:uiPriority w:val="0"/>
    <w:rPr>
      <w:color w:val="0000FF"/>
      <w:u w:val="single"/>
    </w:rPr>
  </w:style>
  <w:style w:type="character" w:styleId="29">
    <w:name w:val="annotation reference"/>
    <w:basedOn w:val="26"/>
    <w:qFormat/>
    <w:uiPriority w:val="0"/>
    <w:rPr>
      <w:sz w:val="21"/>
      <w:szCs w:val="21"/>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14"/>
    <w:qFormat/>
    <w:uiPriority w:val="0"/>
    <w:rPr>
      <w:rFonts w:ascii="Times New Roman" w:hAnsi="Times New Roman" w:eastAsia="宋体" w:cs="Times New Roman"/>
      <w:sz w:val="21"/>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纯文本 Char"/>
    <w:basedOn w:val="26"/>
    <w:link w:val="11"/>
    <w:qFormat/>
    <w:uiPriority w:val="99"/>
    <w:rPr>
      <w:rFonts w:ascii="宋体" w:hAnsi="Courier New" w:eastAsia="宋体"/>
      <w:kern w:val="2"/>
      <w:sz w:val="21"/>
      <w:szCs w:val="24"/>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纯文本_3"/>
    <w:basedOn w:val="37"/>
    <w:qFormat/>
    <w:uiPriority w:val="0"/>
    <w:pPr>
      <w:widowControl/>
      <w:jc w:val="left"/>
    </w:pPr>
    <w:rPr>
      <w:rFonts w:ascii="宋体" w:hAnsi="Courier New" w:eastAsiaTheme="minorEastAsia" w:cstheme="minorBidi"/>
      <w:szCs w:val="21"/>
    </w:rPr>
  </w:style>
  <w:style w:type="character" w:customStyle="1" w:styleId="45">
    <w:name w:val="标题 Char"/>
    <w:basedOn w:val="26"/>
    <w:link w:val="21"/>
    <w:qFormat/>
    <w:uiPriority w:val="0"/>
    <w:rPr>
      <w:rFonts w:asciiTheme="majorHAnsi" w:hAnsiTheme="majorHAnsi" w:cstheme="majorBidi"/>
      <w:b/>
      <w:bCs/>
      <w:kern w:val="2"/>
      <w:sz w:val="32"/>
      <w:szCs w:val="32"/>
    </w:rPr>
  </w:style>
  <w:style w:type="character" w:customStyle="1" w:styleId="46">
    <w:name w:val="标题 2 Char"/>
    <w:basedOn w:val="26"/>
    <w:link w:val="4"/>
    <w:qFormat/>
    <w:uiPriority w:val="0"/>
    <w:rPr>
      <w:rFonts w:asciiTheme="majorHAnsi" w:hAnsiTheme="majorHAnsi" w:eastAsiaTheme="majorEastAsia" w:cstheme="majorBidi"/>
      <w:b/>
      <w:bCs/>
      <w:kern w:val="2"/>
      <w:sz w:val="32"/>
      <w:szCs w:val="32"/>
    </w:rPr>
  </w:style>
  <w:style w:type="character" w:customStyle="1" w:styleId="47">
    <w:name w:val="font31"/>
    <w:basedOn w:val="26"/>
    <w:qFormat/>
    <w:uiPriority w:val="0"/>
    <w:rPr>
      <w:rFonts w:hint="eastAsia" w:ascii="宋体" w:hAnsi="宋体" w:eastAsia="宋体" w:cs="宋体"/>
      <w:color w:val="000000"/>
      <w:sz w:val="20"/>
      <w:szCs w:val="20"/>
      <w:u w:val="none"/>
    </w:rPr>
  </w:style>
  <w:style w:type="character" w:customStyle="1" w:styleId="48">
    <w:name w:val="font41"/>
    <w:basedOn w:val="26"/>
    <w:qFormat/>
    <w:uiPriority w:val="0"/>
    <w:rPr>
      <w:rFonts w:hint="default" w:ascii="Tahoma" w:hAnsi="Tahoma" w:eastAsia="Tahoma" w:cs="Tahoma"/>
      <w:color w:val="000000"/>
      <w:sz w:val="20"/>
      <w:szCs w:val="20"/>
      <w:u w:val="none"/>
    </w:rPr>
  </w:style>
  <w:style w:type="paragraph" w:customStyle="1" w:styleId="49">
    <w:name w:val="[Normal]"/>
    <w:unhideWhenUsed/>
    <w:qFormat/>
    <w:uiPriority w:val="0"/>
    <w:rPr>
      <w:rFonts w:hint="eastAsia" w:ascii="宋体" w:hAnsi="宋体" w:eastAsia="宋体" w:cs="Times New Roman"/>
      <w:sz w:val="24"/>
      <w:lang w:val="zh-CN" w:eastAsia="zh-CN" w:bidi="ar-SA"/>
    </w:rPr>
  </w:style>
  <w:style w:type="character" w:customStyle="1" w:styleId="50">
    <w:name w:val="font51"/>
    <w:basedOn w:val="26"/>
    <w:qFormat/>
    <w:uiPriority w:val="0"/>
    <w:rPr>
      <w:rFonts w:hint="default" w:ascii="Times New Roman" w:hAnsi="Times New Roman" w:cs="Times New Roman"/>
      <w:color w:val="000000"/>
      <w:sz w:val="20"/>
      <w:szCs w:val="20"/>
      <w:u w:val="none"/>
    </w:rPr>
  </w:style>
  <w:style w:type="character" w:customStyle="1" w:styleId="51">
    <w:name w:val="font12"/>
    <w:basedOn w:val="26"/>
    <w:qFormat/>
    <w:uiPriority w:val="0"/>
    <w:rPr>
      <w:rFonts w:hint="eastAsia" w:ascii="宋体" w:hAnsi="宋体" w:eastAsia="宋体" w:cs="宋体"/>
      <w:b/>
      <w:bCs/>
      <w:color w:val="000000"/>
      <w:sz w:val="22"/>
      <w:szCs w:val="22"/>
      <w:u w:val="none"/>
    </w:rPr>
  </w:style>
  <w:style w:type="character" w:customStyle="1" w:styleId="52">
    <w:name w:val="font122"/>
    <w:basedOn w:val="26"/>
    <w:qFormat/>
    <w:uiPriority w:val="0"/>
    <w:rPr>
      <w:rFonts w:hint="eastAsia" w:ascii="宋体" w:hAnsi="宋体" w:eastAsia="宋体" w:cs="宋体"/>
      <w:b/>
      <w:bCs/>
      <w:color w:val="FF0000"/>
      <w:sz w:val="22"/>
      <w:szCs w:val="22"/>
      <w:u w:val="none"/>
    </w:rPr>
  </w:style>
  <w:style w:type="character" w:customStyle="1" w:styleId="53">
    <w:name w:val="批注框文本 Char"/>
    <w:basedOn w:val="26"/>
    <w:link w:val="14"/>
    <w:qFormat/>
    <w:uiPriority w:val="0"/>
    <w:rPr>
      <w:kern w:val="2"/>
      <w:sz w:val="18"/>
      <w:szCs w:val="18"/>
    </w:rPr>
  </w:style>
  <w:style w:type="character" w:customStyle="1" w:styleId="54">
    <w:name w:val="批注文字 Char"/>
    <w:basedOn w:val="26"/>
    <w:link w:val="9"/>
    <w:qFormat/>
    <w:uiPriority w:val="0"/>
    <w:rPr>
      <w:kern w:val="2"/>
      <w:sz w:val="21"/>
      <w:szCs w:val="24"/>
    </w:rPr>
  </w:style>
  <w:style w:type="character" w:customStyle="1" w:styleId="55">
    <w:name w:val="批注主题 Char"/>
    <w:basedOn w:val="54"/>
    <w:link w:val="22"/>
    <w:qFormat/>
    <w:uiPriority w:val="0"/>
  </w:style>
  <w:style w:type="paragraph" w:customStyle="1" w:styleId="56">
    <w:name w:val="p0"/>
    <w:basedOn w:val="1"/>
    <w:qFormat/>
    <w:uiPriority w:val="0"/>
    <w:pPr>
      <w:widowControl/>
    </w:pPr>
    <w:rPr>
      <w:rFonts w:ascii="Calibri" w:hAnsi="Calibri" w:cs="宋体"/>
      <w:kern w:val="0"/>
      <w:szCs w:val="21"/>
    </w:rPr>
  </w:style>
  <w:style w:type="paragraph" w:customStyle="1" w:styleId="57">
    <w:name w:val="CM26"/>
    <w:basedOn w:val="58"/>
    <w:next w:val="58"/>
    <w:qFormat/>
    <w:uiPriority w:val="99"/>
    <w:pPr>
      <w:spacing w:line="400" w:lineRule="atLeast"/>
    </w:pPr>
    <w:rPr>
      <w:rFonts w:cs="Times New Roman"/>
      <w:color w:val="auto"/>
    </w:rPr>
  </w:style>
  <w:style w:type="paragraph" w:customStyle="1" w:styleId="58">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59">
    <w:name w:val="样式 首行缩进:  2 字符"/>
    <w:basedOn w:val="1"/>
    <w:semiHidden/>
    <w:qFormat/>
    <w:uiPriority w:val="0"/>
    <w:pPr>
      <w:autoSpaceDE/>
      <w:autoSpaceDN/>
      <w:ind w:firstLine="480"/>
    </w:pPr>
    <w:rPr>
      <w:rFonts w:eastAsia="新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17173</Words>
  <Characters>17786</Characters>
  <Lines>158</Lines>
  <Paragraphs>44</Paragraphs>
  <TotalTime>11</TotalTime>
  <ScaleCrop>false</ScaleCrop>
  <LinksUpToDate>false</LinksUpToDate>
  <CharactersWithSpaces>18873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2021-01-14T08:56:00Z</dcterms:created>
  <dc:creator>S-mile</dc:creator>
  <cp:lastModifiedBy>金磊</cp:lastModifiedBy>
  <cp:lastPrinted>2020-10-22T01:41:00Z</cp:lastPrinted>
  <dcterms:modified xsi:type="dcterms:W3CDTF">2022-07-14T09:01:21Z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8C3E9C96ACE6462F931B9DD29B64866E</vt:lpwstr>
  </property>
  <property fmtid="{D5CDD505-2E9C-101B-9397-08002B2CF9AE}" pid="4" name="commondata">
    <vt:lpwstr>eyJoZGlkIjoiYTlhMjdiMmQ0YThjMzEyMTE1Yjc3MTYyNjUzYTgzMmQifQ==</vt:lpwstr>
  </property>
</Properties>
</file>