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olor w:val="auto"/>
          <w:sz w:val="44"/>
        </w:rPr>
      </w:pPr>
      <w:r>
        <w:rPr>
          <w:rFonts w:hint="eastAsia" w:ascii="宋体" w:hAnsi="宋体"/>
          <w:color w:val="auto"/>
          <w:sz w:val="44"/>
        </w:rPr>
        <w:t xml:space="preserve"> </w:t>
      </w:r>
    </w:p>
    <w:p>
      <w:pPr>
        <w:autoSpaceDE w:val="0"/>
        <w:autoSpaceDN w:val="0"/>
        <w:adjustRightInd w:val="0"/>
        <w:jc w:val="center"/>
        <w:rPr>
          <w:rFonts w:ascii="宋体" w:hAnsi="宋体"/>
          <w:color w:val="auto"/>
          <w:sz w:val="44"/>
        </w:rPr>
      </w:pPr>
    </w:p>
    <w:p>
      <w:pPr>
        <w:autoSpaceDE w:val="0"/>
        <w:autoSpaceDN w:val="0"/>
        <w:adjustRightInd w:val="0"/>
        <w:jc w:val="center"/>
        <w:rPr>
          <w:rFonts w:ascii="黑体" w:eastAsia="黑体"/>
          <w:b/>
          <w:bCs/>
          <w:color w:val="auto"/>
          <w:sz w:val="52"/>
          <w:szCs w:val="72"/>
        </w:rPr>
      </w:pPr>
      <w:r>
        <w:rPr>
          <w:rFonts w:hint="eastAsia" w:ascii="宋体" w:hAnsi="宋体"/>
          <w:color w:val="auto"/>
          <w:sz w:val="44"/>
          <w:lang w:eastAsia="zh-CN"/>
        </w:rPr>
        <w:t>三门县大通运输有限公司恒驰出租车分公司</w:t>
      </w:r>
      <w:r>
        <w:rPr>
          <w:rFonts w:hint="eastAsia" w:ascii="宋体" w:hAnsi="宋体"/>
          <w:color w:val="auto"/>
          <w:sz w:val="44"/>
        </w:rPr>
        <w:t>出租车采购项目</w:t>
      </w:r>
    </w:p>
    <w:p>
      <w:pPr>
        <w:autoSpaceDE w:val="0"/>
        <w:autoSpaceDN w:val="0"/>
        <w:adjustRightInd w:val="0"/>
        <w:jc w:val="center"/>
        <w:rPr>
          <w:rFonts w:ascii="黑体" w:eastAsia="黑体"/>
          <w:b/>
          <w:bCs/>
          <w:color w:val="auto"/>
          <w:sz w:val="52"/>
          <w:szCs w:val="72"/>
        </w:rPr>
      </w:pPr>
    </w:p>
    <w:p>
      <w:pPr>
        <w:autoSpaceDE w:val="0"/>
        <w:autoSpaceDN w:val="0"/>
        <w:adjustRightInd w:val="0"/>
        <w:jc w:val="center"/>
        <w:rPr>
          <w:rFonts w:ascii="黑体" w:eastAsia="黑体"/>
          <w:b/>
          <w:bCs/>
          <w:color w:val="auto"/>
          <w:sz w:val="72"/>
          <w:szCs w:val="72"/>
          <w:lang w:val="zh-CN"/>
        </w:rPr>
      </w:pPr>
      <w:r>
        <w:rPr>
          <w:rFonts w:hint="eastAsia" w:ascii="黑体" w:eastAsia="黑体"/>
          <w:b/>
          <w:bCs/>
          <w:color w:val="auto"/>
          <w:sz w:val="72"/>
          <w:szCs w:val="72"/>
          <w:lang w:val="zh-CN"/>
        </w:rPr>
        <w:t>招</w:t>
      </w:r>
      <w:r>
        <w:rPr>
          <w:rFonts w:hint="eastAsia" w:ascii="黑体" w:eastAsia="黑体"/>
          <w:b/>
          <w:bCs/>
          <w:color w:val="auto"/>
          <w:sz w:val="72"/>
          <w:szCs w:val="72"/>
        </w:rPr>
        <w:t xml:space="preserve"> </w:t>
      </w:r>
      <w:r>
        <w:rPr>
          <w:rFonts w:hint="eastAsia" w:ascii="黑体" w:eastAsia="黑体"/>
          <w:b/>
          <w:bCs/>
          <w:color w:val="auto"/>
          <w:sz w:val="72"/>
          <w:szCs w:val="72"/>
          <w:lang w:val="zh-CN"/>
        </w:rPr>
        <w:t>标</w:t>
      </w:r>
      <w:r>
        <w:rPr>
          <w:rFonts w:hint="eastAsia" w:ascii="黑体" w:eastAsia="黑体"/>
          <w:b/>
          <w:bCs/>
          <w:color w:val="auto"/>
          <w:sz w:val="72"/>
          <w:szCs w:val="72"/>
        </w:rPr>
        <w:t xml:space="preserve"> </w:t>
      </w:r>
      <w:r>
        <w:rPr>
          <w:rFonts w:hint="eastAsia" w:ascii="黑体" w:eastAsia="黑体"/>
          <w:b/>
          <w:bCs/>
          <w:color w:val="auto"/>
          <w:sz w:val="72"/>
          <w:szCs w:val="72"/>
          <w:lang w:val="zh-CN"/>
        </w:rPr>
        <w:t>文</w:t>
      </w:r>
      <w:r>
        <w:rPr>
          <w:rFonts w:hint="eastAsia" w:ascii="黑体" w:eastAsia="黑体"/>
          <w:b/>
          <w:bCs/>
          <w:color w:val="auto"/>
          <w:sz w:val="72"/>
          <w:szCs w:val="72"/>
        </w:rPr>
        <w:t xml:space="preserve"> </w:t>
      </w:r>
      <w:r>
        <w:rPr>
          <w:rFonts w:hint="eastAsia" w:ascii="黑体" w:eastAsia="黑体"/>
          <w:b/>
          <w:bCs/>
          <w:color w:val="auto"/>
          <w:sz w:val="72"/>
          <w:szCs w:val="72"/>
          <w:lang w:val="zh-CN"/>
        </w:rPr>
        <w:t>件</w:t>
      </w:r>
    </w:p>
    <w:p>
      <w:pPr>
        <w:tabs>
          <w:tab w:val="left" w:pos="1440"/>
        </w:tabs>
        <w:spacing w:line="216" w:lineRule="auto"/>
        <w:rPr>
          <w:rFonts w:ascii="宋体" w:hAnsi="宋体"/>
          <w:b/>
          <w:color w:val="auto"/>
        </w:rPr>
      </w:pPr>
    </w:p>
    <w:p>
      <w:pPr>
        <w:tabs>
          <w:tab w:val="left" w:pos="1440"/>
        </w:tabs>
        <w:spacing w:line="216" w:lineRule="auto"/>
        <w:rPr>
          <w:rFonts w:ascii="宋体" w:hAnsi="宋体"/>
          <w:b/>
          <w:color w:val="auto"/>
        </w:rPr>
      </w:pPr>
    </w:p>
    <w:p>
      <w:pPr>
        <w:tabs>
          <w:tab w:val="left" w:pos="1440"/>
        </w:tabs>
        <w:spacing w:line="216" w:lineRule="auto"/>
        <w:jc w:val="center"/>
        <w:rPr>
          <w:rFonts w:hint="eastAsia" w:ascii="宋体" w:hAnsi="宋体" w:eastAsia="宋体"/>
          <w:b/>
          <w:bCs/>
          <w:color w:val="auto"/>
          <w:sz w:val="30"/>
          <w:lang w:eastAsia="zh-CN"/>
        </w:rPr>
      </w:pPr>
      <w:r>
        <w:rPr>
          <w:rFonts w:hint="eastAsia" w:ascii="宋体" w:hAnsi="宋体"/>
          <w:b/>
          <w:bCs/>
          <w:color w:val="auto"/>
          <w:sz w:val="30"/>
        </w:rPr>
        <w:t>备案登记号：</w:t>
      </w:r>
      <w:r>
        <w:rPr>
          <w:rFonts w:hint="eastAsia" w:ascii="宋体" w:hAnsi="宋体"/>
          <w:b/>
          <w:bCs/>
          <w:color w:val="auto"/>
          <w:sz w:val="30"/>
          <w:lang w:eastAsia="zh-CN"/>
        </w:rPr>
        <w:t>浙财招备[2022]</w:t>
      </w:r>
      <w:r>
        <w:rPr>
          <w:rFonts w:hint="eastAsia" w:ascii="宋体" w:hAnsi="宋体"/>
          <w:b/>
          <w:bCs/>
          <w:color w:val="auto"/>
          <w:sz w:val="30"/>
          <w:lang w:val="en-US" w:eastAsia="zh-CN"/>
        </w:rPr>
        <w:t>036</w:t>
      </w:r>
      <w:r>
        <w:rPr>
          <w:rFonts w:hint="eastAsia" w:ascii="宋体" w:hAnsi="宋体"/>
          <w:b/>
          <w:bCs/>
          <w:color w:val="auto"/>
          <w:sz w:val="30"/>
          <w:lang w:eastAsia="zh-CN"/>
        </w:rPr>
        <w:t>号</w:t>
      </w:r>
    </w:p>
    <w:p>
      <w:pPr>
        <w:tabs>
          <w:tab w:val="left" w:pos="1440"/>
        </w:tabs>
        <w:spacing w:line="216" w:lineRule="auto"/>
        <w:ind w:firstLine="1343" w:firstLineChars="446"/>
        <w:rPr>
          <w:rFonts w:ascii="宋体" w:hAnsi="宋体"/>
          <w:b/>
          <w:bCs/>
          <w:color w:val="auto"/>
          <w:sz w:val="30"/>
        </w:rPr>
      </w:pPr>
      <w:r>
        <w:rPr>
          <w:rFonts w:hint="eastAsia" w:ascii="宋体" w:hAnsi="宋体"/>
          <w:b/>
          <w:bCs/>
          <w:color w:val="auto"/>
          <w:sz w:val="30"/>
        </w:rPr>
        <w:t xml:space="preserve">  </w:t>
      </w:r>
    </w:p>
    <w:p>
      <w:pPr>
        <w:tabs>
          <w:tab w:val="left" w:pos="1440"/>
        </w:tabs>
        <w:spacing w:line="216" w:lineRule="auto"/>
        <w:rPr>
          <w:rFonts w:ascii="宋体" w:hAnsi="宋体"/>
          <w:b/>
          <w:bCs/>
          <w:color w:val="auto"/>
          <w:sz w:val="30"/>
        </w:rPr>
      </w:pPr>
      <w:r>
        <w:rPr>
          <w:rFonts w:hint="eastAsia" w:ascii="宋体" w:hAnsi="宋体"/>
          <w:b/>
          <w:bCs/>
          <w:color w:val="auto"/>
          <w:sz w:val="30"/>
        </w:rPr>
        <w:t xml:space="preserve">    </w:t>
      </w:r>
    </w:p>
    <w:p>
      <w:pPr>
        <w:tabs>
          <w:tab w:val="left" w:pos="1440"/>
        </w:tabs>
        <w:spacing w:line="216" w:lineRule="auto"/>
        <w:rPr>
          <w:rFonts w:hint="eastAsia" w:ascii="宋体" w:hAnsi="宋体" w:eastAsia="宋体"/>
          <w:b/>
          <w:color w:val="auto"/>
          <w:sz w:val="28"/>
          <w:lang w:val="en-US" w:eastAsia="zh-CN"/>
        </w:rPr>
      </w:pPr>
      <w:r>
        <w:rPr>
          <w:rFonts w:hint="eastAsia" w:ascii="宋体" w:hAnsi="宋体"/>
          <w:b/>
          <w:color w:val="auto"/>
          <w:sz w:val="28"/>
          <w:lang w:val="en-US" w:eastAsia="zh-CN"/>
        </w:rPr>
        <w:tab/>
      </w: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ind w:firstLine="1687" w:firstLineChars="600"/>
        <w:rPr>
          <w:rFonts w:ascii="宋体" w:hAnsi="宋体"/>
          <w:b/>
          <w:color w:val="auto"/>
          <w:sz w:val="28"/>
        </w:rPr>
      </w:pPr>
    </w:p>
    <w:p>
      <w:pPr>
        <w:spacing w:line="640" w:lineRule="exact"/>
        <w:rPr>
          <w:rFonts w:ascii="宋体" w:hAnsi="宋体"/>
          <w:b/>
          <w:color w:val="auto"/>
          <w:sz w:val="28"/>
        </w:rPr>
      </w:pPr>
    </w:p>
    <w:p>
      <w:pPr>
        <w:spacing w:line="640" w:lineRule="exact"/>
        <w:ind w:firstLine="960" w:firstLineChars="300"/>
        <w:jc w:val="left"/>
        <w:rPr>
          <w:rFonts w:hint="eastAsia" w:ascii="宋体" w:hAnsi="宋体" w:eastAsia="宋体"/>
          <w:color w:val="auto"/>
          <w:sz w:val="32"/>
          <w:szCs w:val="20"/>
          <w:lang w:eastAsia="zh-CN"/>
        </w:rPr>
      </w:pPr>
      <w:r>
        <w:rPr>
          <w:rFonts w:hint="eastAsia" w:ascii="宋体" w:hAnsi="宋体"/>
          <w:color w:val="auto"/>
          <w:sz w:val="32"/>
          <w:szCs w:val="20"/>
        </w:rPr>
        <w:t>采 购 人：</w:t>
      </w:r>
      <w:r>
        <w:rPr>
          <w:rFonts w:hint="eastAsia" w:ascii="宋体" w:hAnsi="宋体"/>
          <w:color w:val="auto"/>
          <w:sz w:val="32"/>
          <w:szCs w:val="32"/>
          <w:lang w:eastAsia="zh-CN"/>
        </w:rPr>
        <w:t>三门县大通运输有限公司恒驰出租车分公司</w:t>
      </w:r>
    </w:p>
    <w:p>
      <w:pPr>
        <w:spacing w:line="640" w:lineRule="exact"/>
        <w:ind w:firstLine="960" w:firstLineChars="300"/>
        <w:jc w:val="left"/>
        <w:rPr>
          <w:rFonts w:hint="eastAsia" w:ascii="宋体" w:hAnsi="宋体" w:eastAsia="宋体"/>
          <w:color w:val="auto"/>
          <w:spacing w:val="140"/>
          <w:sz w:val="32"/>
          <w:szCs w:val="20"/>
          <w:lang w:eastAsia="zh-CN"/>
        </w:rPr>
      </w:pPr>
      <w:r>
        <w:rPr>
          <w:rFonts w:hint="eastAsia" w:ascii="宋体" w:hAnsi="宋体"/>
          <w:color w:val="auto"/>
          <w:sz w:val="32"/>
          <w:szCs w:val="20"/>
        </w:rPr>
        <w:t>招标代理人：</w:t>
      </w:r>
      <w:r>
        <w:rPr>
          <w:rFonts w:hint="eastAsia" w:ascii="宋体" w:hAnsi="宋体"/>
          <w:color w:val="auto"/>
          <w:spacing w:val="50"/>
          <w:sz w:val="32"/>
          <w:szCs w:val="20"/>
          <w:lang w:eastAsia="zh-CN"/>
        </w:rPr>
        <w:t>浙江财信工程咨询有限公司</w:t>
      </w:r>
    </w:p>
    <w:p>
      <w:pPr>
        <w:spacing w:line="640" w:lineRule="exact"/>
        <w:ind w:firstLine="3230" w:firstLineChars="997"/>
        <w:jc w:val="left"/>
        <w:rPr>
          <w:rFonts w:ascii="宋体" w:hAnsi="宋体"/>
          <w:color w:val="auto"/>
          <w:spacing w:val="2"/>
          <w:sz w:val="32"/>
          <w:szCs w:val="20"/>
        </w:rPr>
      </w:pPr>
    </w:p>
    <w:p>
      <w:pPr>
        <w:spacing w:line="600" w:lineRule="exact"/>
        <w:ind w:firstLine="2992" w:firstLineChars="850"/>
        <w:rPr>
          <w:rFonts w:ascii="宋体" w:hAnsi="宋体"/>
          <w:color w:val="auto"/>
          <w:spacing w:val="16"/>
          <w:sz w:val="32"/>
          <w:szCs w:val="20"/>
        </w:rPr>
      </w:pPr>
      <w:r>
        <w:rPr>
          <w:rFonts w:hint="eastAsia" w:ascii="宋体" w:hAnsi="宋体"/>
          <w:color w:val="auto"/>
          <w:spacing w:val="16"/>
          <w:sz w:val="32"/>
          <w:szCs w:val="20"/>
        </w:rPr>
        <w:t xml:space="preserve">二 ○ 二 </w:t>
      </w:r>
      <w:r>
        <w:rPr>
          <w:rFonts w:hint="eastAsia" w:ascii="宋体" w:hAnsi="宋体"/>
          <w:color w:val="auto"/>
          <w:spacing w:val="16"/>
          <w:sz w:val="32"/>
          <w:szCs w:val="20"/>
          <w:lang w:val="en-US" w:eastAsia="zh-CN"/>
        </w:rPr>
        <w:t>二</w:t>
      </w:r>
      <w:r>
        <w:rPr>
          <w:rFonts w:hint="eastAsia" w:ascii="宋体" w:hAnsi="宋体"/>
          <w:color w:val="auto"/>
          <w:spacing w:val="16"/>
          <w:sz w:val="32"/>
          <w:szCs w:val="20"/>
        </w:rPr>
        <w:t xml:space="preserve"> 年 </w:t>
      </w:r>
      <w:r>
        <w:rPr>
          <w:rFonts w:hint="eastAsia" w:ascii="宋体" w:hAnsi="宋体"/>
          <w:color w:val="auto"/>
          <w:spacing w:val="16"/>
          <w:sz w:val="32"/>
          <w:szCs w:val="20"/>
          <w:lang w:val="en-US" w:eastAsia="zh-CN"/>
        </w:rPr>
        <w:t xml:space="preserve">六 </w:t>
      </w:r>
      <w:r>
        <w:rPr>
          <w:rFonts w:hint="eastAsia" w:ascii="宋体" w:hAnsi="宋体"/>
          <w:color w:val="auto"/>
          <w:spacing w:val="16"/>
          <w:sz w:val="32"/>
          <w:szCs w:val="20"/>
        </w:rPr>
        <w:t>月</w:t>
      </w:r>
    </w:p>
    <w:p>
      <w:pPr>
        <w:rPr>
          <w:rFonts w:ascii="宋体" w:hAnsi="宋体" w:cs="Arial"/>
          <w:b/>
          <w:bCs/>
          <w:color w:val="auto"/>
          <w:sz w:val="36"/>
          <w:szCs w:val="36"/>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rPr>
      </w:pPr>
    </w:p>
    <w:p>
      <w:pPr>
        <w:spacing w:line="360" w:lineRule="auto"/>
        <w:rPr>
          <w:rFonts w:ascii="新宋体" w:hAnsi="新宋体" w:eastAsia="新宋体"/>
          <w:color w:val="auto"/>
          <w:sz w:val="28"/>
          <w:szCs w:val="28"/>
        </w:rPr>
      </w:pP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招标公告</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投标人须知</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评标办法及评分标准</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公开招标需求</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政府采购合同主要条款指引</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投标文件格式附件</w:t>
      </w: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rPr>
        <w:br w:type="page"/>
      </w:r>
    </w:p>
    <w:p>
      <w:pPr>
        <w:spacing w:line="420" w:lineRule="exact"/>
        <w:ind w:left="4" w:leftChars="2"/>
        <w:jc w:val="center"/>
        <w:rPr>
          <w:rFonts w:hint="eastAsia"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lang w:eastAsia="zh-CN"/>
        </w:rPr>
        <w:t>三门县大通运输有限公司恒驰出租车分公司</w:t>
      </w:r>
      <w:r>
        <w:rPr>
          <w:rFonts w:hint="eastAsia" w:asciiTheme="majorEastAsia" w:hAnsiTheme="majorEastAsia" w:eastAsiaTheme="majorEastAsia"/>
          <w:b/>
          <w:color w:val="auto"/>
          <w:kern w:val="0"/>
          <w:sz w:val="36"/>
          <w:szCs w:val="36"/>
        </w:rPr>
        <w:t>出租车采购项目</w:t>
      </w:r>
    </w:p>
    <w:p>
      <w:pPr>
        <w:pStyle w:val="2"/>
        <w:jc w:val="center"/>
        <w:rPr>
          <w:rFonts w:hint="eastAsia" w:asciiTheme="majorEastAsia" w:hAnsiTheme="majorEastAsia" w:eastAsiaTheme="majorEastAsia"/>
          <w:b/>
          <w:color w:val="auto"/>
          <w:kern w:val="0"/>
          <w:sz w:val="36"/>
          <w:szCs w:val="36"/>
          <w:lang w:val="en-US" w:eastAsia="zh-CN"/>
        </w:rPr>
      </w:pPr>
    </w:p>
    <w:p>
      <w:pPr>
        <w:pStyle w:val="2"/>
        <w:jc w:val="center"/>
        <w:rPr>
          <w:rFonts w:hint="eastAsia" w:asciiTheme="majorEastAsia" w:hAnsiTheme="majorEastAsia" w:eastAsiaTheme="majorEastAsia"/>
          <w:b/>
          <w:color w:val="auto"/>
          <w:kern w:val="0"/>
          <w:sz w:val="36"/>
          <w:szCs w:val="36"/>
          <w:lang w:val="en-US" w:eastAsia="zh-CN"/>
        </w:rPr>
      </w:pPr>
      <w:r>
        <w:rPr>
          <w:rFonts w:hint="eastAsia" w:asciiTheme="majorEastAsia" w:hAnsiTheme="majorEastAsia" w:eastAsiaTheme="majorEastAsia"/>
          <w:b/>
          <w:color w:val="auto"/>
          <w:kern w:val="0"/>
          <w:sz w:val="36"/>
          <w:szCs w:val="36"/>
          <w:lang w:val="en-US" w:eastAsia="zh-CN"/>
        </w:rPr>
        <w:t>采购公告</w:t>
      </w:r>
    </w:p>
    <w:p>
      <w:pPr>
        <w:pStyle w:val="2"/>
        <w:jc w:val="center"/>
        <w:rPr>
          <w:rFonts w:hint="default" w:asciiTheme="majorEastAsia" w:hAnsiTheme="majorEastAsia" w:eastAsiaTheme="majorEastAsia"/>
          <w:b/>
          <w:color w:val="auto"/>
          <w:kern w:val="0"/>
          <w:sz w:val="36"/>
          <w:szCs w:val="36"/>
          <w:lang w:val="en-US" w:eastAsia="zh-CN"/>
        </w:rPr>
      </w:pPr>
    </w:p>
    <w:p>
      <w:pPr>
        <w:tabs>
          <w:tab w:val="left" w:pos="180"/>
          <w:tab w:val="left" w:pos="360"/>
          <w:tab w:val="left" w:pos="540"/>
          <w:tab w:val="left" w:pos="8280"/>
        </w:tabs>
        <w:autoSpaceDE w:val="0"/>
        <w:autoSpaceDN w:val="0"/>
        <w:adjustRightInd w:val="0"/>
        <w:spacing w:line="440" w:lineRule="exact"/>
        <w:ind w:right="23" w:firstLine="539"/>
        <w:jc w:val="left"/>
        <w:rPr>
          <w:rFonts w:ascii="宋体" w:hAnsi="宋体" w:cs="宋体"/>
          <w:color w:val="auto"/>
          <w:kern w:val="0"/>
          <w:sz w:val="24"/>
        </w:rPr>
      </w:pPr>
      <w:r>
        <w:rPr>
          <w:rFonts w:hint="eastAsia" w:ascii="宋体" w:hAnsi="宋体"/>
          <w:color w:val="auto"/>
          <w:kern w:val="0"/>
          <w:sz w:val="24"/>
        </w:rPr>
        <w:t>根据《中华人民共和国政府采购法》、《中华人民共和国政府采购法实施条例》和财政部令第87号《政府采购货物和服务招标投标管理办法》等有关规定</w:t>
      </w:r>
      <w:r>
        <w:rPr>
          <w:rFonts w:ascii="宋体" w:hAnsi="宋体"/>
          <w:color w:val="auto"/>
          <w:kern w:val="0"/>
          <w:sz w:val="24"/>
        </w:rPr>
        <w:t xml:space="preserve">, </w:t>
      </w:r>
      <w:r>
        <w:rPr>
          <w:rFonts w:hint="eastAsia" w:ascii="宋体" w:hAnsi="宋体"/>
          <w:color w:val="auto"/>
          <w:kern w:val="0"/>
          <w:sz w:val="24"/>
        </w:rPr>
        <w:t>受采购人委托，</w:t>
      </w:r>
      <w:r>
        <w:rPr>
          <w:rFonts w:hint="eastAsia" w:ascii="宋体" w:hAnsi="宋体" w:cs="宋体"/>
          <w:color w:val="auto"/>
          <w:kern w:val="0"/>
          <w:sz w:val="24"/>
        </w:rPr>
        <w:t>现就</w:t>
      </w:r>
      <w:r>
        <w:rPr>
          <w:rFonts w:hint="eastAsia" w:ascii="宋体" w:hAnsi="宋体" w:cs="宋体"/>
          <w:color w:val="auto"/>
          <w:kern w:val="0"/>
          <w:sz w:val="24"/>
          <w:lang w:eastAsia="zh-CN"/>
        </w:rPr>
        <w:t>三门县大通运输有限公司恒驰出租车分公司</w:t>
      </w:r>
      <w:r>
        <w:rPr>
          <w:rFonts w:hint="eastAsia" w:ascii="宋体" w:hAnsi="宋体" w:cs="宋体"/>
          <w:color w:val="auto"/>
          <w:kern w:val="0"/>
          <w:sz w:val="24"/>
        </w:rPr>
        <w:t>出租车采购项目进行</w:t>
      </w:r>
      <w:r>
        <w:rPr>
          <w:rFonts w:hint="eastAsia" w:ascii="宋体" w:hAnsi="宋体" w:cs="宋体"/>
          <w:color w:val="auto"/>
          <w:kern w:val="0"/>
          <w:sz w:val="24"/>
          <w:lang w:val="en-US" w:eastAsia="zh-CN"/>
        </w:rPr>
        <w:t>公开</w:t>
      </w:r>
      <w:r>
        <w:rPr>
          <w:rFonts w:hint="eastAsia" w:ascii="宋体" w:hAnsi="宋体" w:cs="宋体"/>
          <w:color w:val="auto"/>
          <w:kern w:val="0"/>
          <w:sz w:val="24"/>
        </w:rPr>
        <w:t>招标。</w:t>
      </w:r>
      <w:r>
        <w:rPr>
          <w:rFonts w:hint="eastAsia" w:ascii="宋体" w:hAnsi="宋体" w:cs="宋体"/>
          <w:color w:val="auto"/>
          <w:kern w:val="0"/>
          <w:sz w:val="24"/>
          <w:lang w:val="en-US" w:eastAsia="zh-CN"/>
        </w:rPr>
        <w:t>欢迎各</w:t>
      </w:r>
      <w:r>
        <w:rPr>
          <w:rFonts w:hint="eastAsia" w:ascii="宋体" w:hAnsi="宋体" w:cs="宋体"/>
          <w:color w:val="auto"/>
          <w:kern w:val="0"/>
          <w:sz w:val="24"/>
        </w:rPr>
        <w:t>单位参加本项目投标。</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color w:val="auto"/>
          <w:kern w:val="0"/>
          <w:sz w:val="24"/>
        </w:rPr>
      </w:pPr>
      <w:r>
        <w:rPr>
          <w:rFonts w:hint="eastAsia" w:ascii="宋体" w:hAnsi="宋体"/>
          <w:b/>
          <w:color w:val="auto"/>
          <w:kern w:val="0"/>
          <w:sz w:val="24"/>
        </w:rPr>
        <w:t>项目编号：</w:t>
      </w:r>
      <w:r>
        <w:rPr>
          <w:rFonts w:hint="eastAsia" w:ascii="宋体" w:hAnsi="宋体"/>
          <w:b/>
          <w:color w:val="auto"/>
          <w:kern w:val="0"/>
          <w:sz w:val="24"/>
          <w:lang w:eastAsia="zh-CN"/>
        </w:rPr>
        <w:t>浙财招备[2022]</w:t>
      </w:r>
      <w:r>
        <w:rPr>
          <w:rFonts w:hint="eastAsia" w:ascii="宋体" w:hAnsi="宋体"/>
          <w:b/>
          <w:color w:val="auto"/>
          <w:kern w:val="0"/>
          <w:sz w:val="24"/>
          <w:lang w:val="en-US" w:eastAsia="zh-CN"/>
        </w:rPr>
        <w:t>036</w:t>
      </w:r>
      <w:r>
        <w:rPr>
          <w:rFonts w:hint="eastAsia" w:ascii="宋体" w:hAnsi="宋体"/>
          <w:b/>
          <w:color w:val="auto"/>
          <w:kern w:val="0"/>
          <w:sz w:val="24"/>
          <w:lang w:eastAsia="zh-CN"/>
        </w:rPr>
        <w:t>号</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b/>
          <w:color w:val="auto"/>
          <w:kern w:val="0"/>
          <w:sz w:val="24"/>
        </w:rPr>
      </w:pPr>
      <w:r>
        <w:rPr>
          <w:rFonts w:hint="eastAsia" w:ascii="宋体" w:hAnsi="宋体"/>
          <w:b/>
          <w:color w:val="auto"/>
          <w:kern w:val="0"/>
          <w:sz w:val="24"/>
        </w:rPr>
        <w:t>招标项目概况（内容、用途、数量、简要技术要求）：</w:t>
      </w:r>
    </w:p>
    <w:tbl>
      <w:tblPr>
        <w:tblStyle w:val="29"/>
        <w:tblW w:w="901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1"/>
        <w:gridCol w:w="1180"/>
        <w:gridCol w:w="735"/>
        <w:gridCol w:w="960"/>
        <w:gridCol w:w="2169"/>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94"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序号</w:t>
            </w:r>
          </w:p>
        </w:tc>
        <w:tc>
          <w:tcPr>
            <w:tcW w:w="1411" w:type="dxa"/>
            <w:tcBorders>
              <w:top w:val="single" w:color="auto" w:sz="4" w:space="0"/>
              <w:left w:val="single" w:color="auto" w:sz="4" w:space="0"/>
              <w:bottom w:val="single" w:color="auto" w:sz="4" w:space="0"/>
              <w:right w:val="single" w:color="auto" w:sz="4" w:space="0"/>
            </w:tcBorders>
            <w:noWrap/>
            <w:vAlign w:val="center"/>
          </w:tcPr>
          <w:p>
            <w:pPr>
              <w:spacing w:before="50" w:after="50"/>
              <w:ind w:right="51"/>
              <w:jc w:val="center"/>
              <w:rPr>
                <w:rFonts w:ascii="宋体" w:hAnsi="宋体"/>
                <w:color w:val="auto"/>
                <w:szCs w:val="21"/>
              </w:rPr>
            </w:pPr>
            <w:r>
              <w:rPr>
                <w:rFonts w:ascii="宋体" w:hAnsi="宋体"/>
                <w:color w:val="auto"/>
                <w:szCs w:val="21"/>
              </w:rPr>
              <w:t>标项内容</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预算</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数量</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单位</w:t>
            </w:r>
          </w:p>
        </w:tc>
        <w:tc>
          <w:tcPr>
            <w:tcW w:w="2169"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简要技术要求、用途</w:t>
            </w:r>
          </w:p>
        </w:tc>
        <w:tc>
          <w:tcPr>
            <w:tcW w:w="1866"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4"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1</w:t>
            </w:r>
          </w:p>
        </w:tc>
        <w:tc>
          <w:tcPr>
            <w:tcW w:w="1411" w:type="dxa"/>
            <w:tcBorders>
              <w:top w:val="single" w:color="auto" w:sz="4" w:space="0"/>
              <w:left w:val="single" w:color="auto" w:sz="4" w:space="0"/>
              <w:bottom w:val="single" w:color="auto" w:sz="4" w:space="0"/>
              <w:right w:val="single" w:color="auto" w:sz="4" w:space="0"/>
            </w:tcBorders>
            <w:noWrap/>
            <w:vAlign w:val="center"/>
          </w:tcPr>
          <w:p>
            <w:pPr>
              <w:spacing w:before="50" w:after="50"/>
              <w:ind w:right="51"/>
              <w:jc w:val="center"/>
              <w:rPr>
                <w:rFonts w:ascii="宋体" w:hAnsi="宋体"/>
                <w:color w:val="auto"/>
                <w:szCs w:val="21"/>
              </w:rPr>
            </w:pPr>
            <w:r>
              <w:rPr>
                <w:rFonts w:hint="eastAsia" w:ascii="宋体"/>
                <w:color w:val="auto"/>
                <w:kern w:val="0"/>
                <w:szCs w:val="21"/>
              </w:rPr>
              <w:t>出租车采购</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hint="default" w:ascii="宋体" w:hAnsi="宋体" w:eastAsia="宋体"/>
                <w:color w:val="auto"/>
                <w:szCs w:val="21"/>
                <w:lang w:val="en-US" w:eastAsia="zh-CN"/>
              </w:rPr>
            </w:pPr>
            <w:r>
              <w:rPr>
                <w:rFonts w:hint="eastAsia" w:ascii="宋体" w:hAnsi="宋体"/>
                <w:color w:val="auto"/>
                <w:szCs w:val="21"/>
                <w:lang w:val="en-US" w:eastAsia="zh-CN"/>
              </w:rPr>
              <w:t>280万</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right="51"/>
              <w:jc w:val="center"/>
              <w:rPr>
                <w:rFonts w:ascii="宋体" w:hAnsi="宋体"/>
                <w:color w:val="auto"/>
                <w:szCs w:val="21"/>
              </w:rPr>
            </w:pPr>
            <w:r>
              <w:rPr>
                <w:rFonts w:hint="eastAsia" w:ascii="宋体" w:hAnsi="宋体"/>
                <w:color w:val="auto"/>
                <w:szCs w:val="21"/>
              </w:rPr>
              <w:t>辆</w:t>
            </w:r>
          </w:p>
        </w:tc>
        <w:tc>
          <w:tcPr>
            <w:tcW w:w="2169"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left="50" w:right="51"/>
              <w:jc w:val="center"/>
              <w:rPr>
                <w:rFonts w:ascii="宋体" w:hAnsi="宋体"/>
                <w:color w:val="auto"/>
                <w:szCs w:val="21"/>
              </w:rPr>
            </w:pPr>
            <w:r>
              <w:rPr>
                <w:rFonts w:hint="eastAsia" w:ascii="宋体" w:hAnsi="宋体"/>
                <w:color w:val="auto"/>
                <w:szCs w:val="21"/>
              </w:rPr>
              <w:t>具体详见招标需求</w:t>
            </w:r>
          </w:p>
        </w:tc>
        <w:tc>
          <w:tcPr>
            <w:tcW w:w="1866" w:type="dxa"/>
            <w:tcBorders>
              <w:top w:val="single" w:color="auto" w:sz="4" w:space="0"/>
              <w:left w:val="single" w:color="auto" w:sz="4" w:space="0"/>
              <w:bottom w:val="single" w:color="auto" w:sz="4" w:space="0"/>
              <w:right w:val="single" w:color="auto" w:sz="4" w:space="0"/>
            </w:tcBorders>
            <w:noWrap/>
            <w:vAlign w:val="center"/>
          </w:tcPr>
          <w:p>
            <w:pPr>
              <w:widowControl/>
              <w:spacing w:before="50" w:after="50"/>
              <w:ind w:left="50" w:right="51"/>
              <w:jc w:val="center"/>
              <w:rPr>
                <w:rFonts w:ascii="宋体" w:hAnsi="宋体"/>
                <w:color w:val="auto"/>
                <w:szCs w:val="21"/>
              </w:rPr>
            </w:pPr>
            <w:r>
              <w:rPr>
                <w:rFonts w:hint="eastAsia" w:ascii="宋体" w:hAnsi="宋体"/>
                <w:color w:val="auto"/>
                <w:szCs w:val="21"/>
              </w:rPr>
              <w:t>合同签订后</w:t>
            </w:r>
            <w:r>
              <w:rPr>
                <w:rFonts w:hint="eastAsia" w:ascii="宋体" w:hAnsi="宋体"/>
                <w:color w:val="auto"/>
                <w:szCs w:val="21"/>
                <w:lang w:val="en-US" w:eastAsia="zh-CN"/>
              </w:rPr>
              <w:t>45</w:t>
            </w:r>
            <w:r>
              <w:rPr>
                <w:rFonts w:hint="eastAsia" w:ascii="宋体" w:hAnsi="宋体"/>
                <w:color w:val="auto"/>
                <w:szCs w:val="21"/>
              </w:rPr>
              <w:t>天内供货完成并通过验收</w:t>
            </w:r>
          </w:p>
        </w:tc>
      </w:tr>
    </w:tbl>
    <w:p>
      <w:pPr>
        <w:widowControl/>
        <w:spacing w:line="440" w:lineRule="exact"/>
        <w:ind w:right="60" w:firstLine="480" w:firstLineChars="200"/>
        <w:jc w:val="left"/>
        <w:rPr>
          <w:rFonts w:ascii="宋体" w:hAnsi="宋体" w:cs="宋体"/>
          <w:color w:val="auto"/>
          <w:kern w:val="0"/>
          <w:sz w:val="24"/>
        </w:rPr>
      </w:pPr>
      <w:r>
        <w:rPr>
          <w:rFonts w:hint="eastAsia" w:ascii="宋体" w:hAnsi="宋体" w:cs="宋体"/>
          <w:color w:val="auto"/>
          <w:kern w:val="0"/>
          <w:sz w:val="24"/>
        </w:rPr>
        <w:t>供货地址</w:t>
      </w:r>
      <w:r>
        <w:rPr>
          <w:rFonts w:ascii="宋体" w:hAnsi="宋体" w:cs="宋体"/>
          <w:color w:val="auto"/>
          <w:kern w:val="0"/>
          <w:sz w:val="24"/>
        </w:rPr>
        <w:t>：</w:t>
      </w:r>
      <w:r>
        <w:rPr>
          <w:rFonts w:hint="eastAsia" w:ascii="宋体" w:hAnsi="宋体" w:cs="宋体"/>
          <w:color w:val="auto"/>
          <w:kern w:val="0"/>
          <w:sz w:val="24"/>
        </w:rPr>
        <w:t>采购人指定地点。</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b/>
          <w:color w:val="auto"/>
          <w:kern w:val="0"/>
          <w:sz w:val="24"/>
        </w:rPr>
      </w:pPr>
      <w:r>
        <w:rPr>
          <w:rFonts w:hint="eastAsia" w:ascii="宋体" w:hAnsi="宋体"/>
          <w:b/>
          <w:color w:val="auto"/>
          <w:kern w:val="0"/>
          <w:sz w:val="24"/>
        </w:rPr>
        <w:t>合格投标人的资格条件：</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rPr>
      </w:pPr>
      <w:r>
        <w:rPr>
          <w:rFonts w:hint="eastAsia" w:ascii="宋体" w:hAnsi="宋体"/>
          <w:color w:val="auto"/>
          <w:kern w:val="0"/>
          <w:sz w:val="24"/>
        </w:rPr>
        <w:t>符合《中华人民共和国政府采购法》第二十二条供应商应当具备的条件和浙财采监【2013】24号《关于规范政府采购供应商资格设定及资格审查的通知》第六条规定。</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color w:val="auto"/>
        </w:rPr>
      </w:pPr>
      <w:r>
        <w:rPr>
          <w:rFonts w:hint="eastAsia" w:ascii="宋体" w:hAnsi="宋体"/>
          <w:color w:val="auto"/>
          <w:kern w:val="0"/>
          <w:sz w:val="24"/>
        </w:rPr>
        <w:t>具有与本项目采购需求相适应商品经营能力（包括供应能力、售后服务能力、安装能力、维保能力）的4S店或经销商；</w:t>
      </w:r>
    </w:p>
    <w:p>
      <w:pPr>
        <w:numPr>
          <w:ilvl w:val="0"/>
          <w:numId w:val="4"/>
        </w:numPr>
        <w:tabs>
          <w:tab w:val="left" w:pos="180"/>
          <w:tab w:val="left" w:pos="360"/>
          <w:tab w:val="left" w:pos="540"/>
          <w:tab w:val="left" w:pos="8280"/>
        </w:tabs>
        <w:autoSpaceDE w:val="0"/>
        <w:autoSpaceDN w:val="0"/>
        <w:spacing w:line="440" w:lineRule="exact"/>
        <w:ind w:firstLine="480" w:firstLineChars="200"/>
        <w:jc w:val="left"/>
        <w:rPr>
          <w:rFonts w:ascii="宋体" w:hAnsi="宋体"/>
          <w:b/>
          <w:color w:val="auto"/>
          <w:sz w:val="24"/>
        </w:rPr>
      </w:pPr>
      <w:r>
        <w:rPr>
          <w:rFonts w:hint="eastAsia" w:ascii="宋体" w:hAnsi="宋体"/>
          <w:color w:val="auto"/>
          <w:kern w:val="0"/>
          <w:sz w:val="24"/>
        </w:rPr>
        <w:t>本项目不接受联合体投标。</w:t>
      </w:r>
    </w:p>
    <w:p>
      <w:pPr>
        <w:numPr>
          <w:ilvl w:val="0"/>
          <w:numId w:val="3"/>
        </w:numPr>
        <w:tabs>
          <w:tab w:val="left" w:pos="180"/>
          <w:tab w:val="left" w:pos="360"/>
          <w:tab w:val="left" w:pos="540"/>
          <w:tab w:val="left" w:pos="8280"/>
        </w:tabs>
        <w:autoSpaceDE w:val="0"/>
        <w:autoSpaceDN w:val="0"/>
        <w:adjustRightInd w:val="0"/>
        <w:spacing w:line="440" w:lineRule="exact"/>
        <w:ind w:left="210" w:leftChars="0" w:right="23" w:firstLineChars="0"/>
        <w:jc w:val="left"/>
        <w:rPr>
          <w:rFonts w:ascii="宋体" w:hAnsi="宋体"/>
          <w:b/>
          <w:color w:val="auto"/>
          <w:kern w:val="0"/>
          <w:sz w:val="24"/>
        </w:rPr>
      </w:pPr>
      <w:r>
        <w:rPr>
          <w:rFonts w:hint="eastAsia" w:ascii="宋体" w:hAnsi="宋体"/>
          <w:b/>
          <w:color w:val="auto"/>
          <w:kern w:val="0"/>
          <w:sz w:val="24"/>
          <w:lang w:val="en-US" w:eastAsia="zh-CN"/>
        </w:rPr>
        <w:t>投</w:t>
      </w:r>
      <w:r>
        <w:rPr>
          <w:rFonts w:hint="eastAsia" w:ascii="宋体" w:hAnsi="宋体"/>
          <w:b/>
          <w:color w:val="auto"/>
          <w:kern w:val="0"/>
          <w:sz w:val="24"/>
        </w:rPr>
        <w:t>标保证金</w:t>
      </w:r>
    </w:p>
    <w:p>
      <w:pPr>
        <w:numPr>
          <w:ilvl w:val="0"/>
          <w:numId w:val="5"/>
        </w:numPr>
        <w:spacing w:line="360" w:lineRule="auto"/>
        <w:ind w:firstLine="480" w:firstLineChars="200"/>
        <w:rPr>
          <w:rFonts w:hint="eastAsia" w:ascii="宋体" w:hAnsi="宋体"/>
          <w:color w:val="auto"/>
          <w:kern w:val="0"/>
          <w:sz w:val="24"/>
          <w:lang w:val="en-US" w:eastAsia="zh-CN"/>
        </w:rPr>
      </w:pPr>
      <w:r>
        <w:rPr>
          <w:rFonts w:hint="eastAsia" w:ascii="宋体" w:hAnsi="宋体"/>
          <w:color w:val="auto"/>
          <w:kern w:val="0"/>
          <w:sz w:val="24"/>
          <w:lang w:val="en-US" w:eastAsia="zh-CN"/>
        </w:rPr>
        <w:t>投标保证金的金额：贰万元整</w:t>
      </w:r>
    </w:p>
    <w:p>
      <w:pPr>
        <w:numPr>
          <w:ilvl w:val="0"/>
          <w:numId w:val="5"/>
        </w:numPr>
        <w:spacing w:line="360" w:lineRule="auto"/>
        <w:ind w:firstLine="480" w:firstLineChars="200"/>
        <w:rPr>
          <w:rFonts w:hint="eastAsia" w:ascii="宋体" w:hAnsi="宋体"/>
          <w:color w:val="auto"/>
          <w:kern w:val="0"/>
          <w:sz w:val="24"/>
          <w:lang w:val="en-US" w:eastAsia="zh-CN"/>
        </w:rPr>
      </w:pPr>
      <w:r>
        <w:rPr>
          <w:rFonts w:hint="eastAsia" w:ascii="宋体" w:hAnsi="宋体"/>
          <w:color w:val="auto"/>
          <w:kern w:val="0"/>
          <w:sz w:val="24"/>
          <w:lang w:val="en-US" w:eastAsia="zh-CN"/>
        </w:rPr>
        <w:t>投标保证金的形式：</w:t>
      </w:r>
      <w:bookmarkStart w:id="30" w:name="_GoBack"/>
      <w:bookmarkEnd w:id="30"/>
    </w:p>
    <w:p>
      <w:pPr>
        <w:numPr>
          <w:ilvl w:val="0"/>
          <w:numId w:val="0"/>
        </w:numPr>
        <w:spacing w:line="360" w:lineRule="auto"/>
        <w:ind w:firstLine="720" w:firstLineChars="300"/>
        <w:rPr>
          <w:rFonts w:hint="eastAsia" w:ascii="宋体" w:hAnsi="宋体"/>
          <w:color w:val="auto"/>
          <w:kern w:val="0"/>
          <w:sz w:val="24"/>
          <w:lang w:val="en-US" w:eastAsia="zh-CN"/>
        </w:rPr>
      </w:pPr>
      <w:r>
        <w:rPr>
          <w:rFonts w:hint="eastAsia" w:ascii="宋体" w:hAnsi="宋体"/>
          <w:color w:val="auto"/>
          <w:kern w:val="0"/>
          <w:sz w:val="24"/>
          <w:lang w:val="en-US" w:eastAsia="zh-CN"/>
        </w:rPr>
        <w:t>1）投标保证金应转账支票或电汇支付或网银支付或年度投标保证金或银行保函的形式。不接受其它形式。投标保证金的有效期应与投标有效期一致。</w:t>
      </w:r>
    </w:p>
    <w:p>
      <w:pPr>
        <w:numPr>
          <w:ilvl w:val="0"/>
          <w:numId w:val="0"/>
        </w:numPr>
        <w:spacing w:line="360" w:lineRule="auto"/>
        <w:ind w:firstLine="720" w:firstLineChars="300"/>
        <w:rPr>
          <w:rFonts w:hint="eastAsia" w:ascii="宋体" w:hAnsi="宋体"/>
          <w:color w:val="auto"/>
          <w:kern w:val="0"/>
          <w:sz w:val="24"/>
          <w:lang w:val="en-US" w:eastAsia="zh-CN"/>
        </w:rPr>
      </w:pPr>
      <w:r>
        <w:rPr>
          <w:rFonts w:hint="eastAsia" w:ascii="宋体" w:hAnsi="宋体"/>
          <w:color w:val="auto"/>
          <w:kern w:val="0"/>
          <w:sz w:val="24"/>
          <w:lang w:val="en-US" w:eastAsia="zh-CN"/>
        </w:rPr>
        <w:t>2）投标保证金应在投标截止日前的一个工作日内，从投标人在银行开立的基本结算账户汇出至“浙江财信工程咨询有限公司”指定帐户：</w:t>
      </w:r>
    </w:p>
    <w:p>
      <w:pPr>
        <w:numPr>
          <w:ilvl w:val="0"/>
          <w:numId w:val="0"/>
        </w:numPr>
        <w:spacing w:line="360" w:lineRule="auto"/>
        <w:ind w:firstLine="960" w:firstLineChars="400"/>
        <w:rPr>
          <w:rFonts w:hint="eastAsia" w:ascii="宋体" w:hAnsi="宋体"/>
          <w:color w:val="auto"/>
          <w:kern w:val="0"/>
          <w:sz w:val="24"/>
          <w:lang w:val="en-US" w:eastAsia="zh-CN"/>
        </w:rPr>
      </w:pPr>
      <w:r>
        <w:rPr>
          <w:rFonts w:hint="eastAsia" w:ascii="宋体" w:hAnsi="宋体"/>
          <w:color w:val="auto"/>
          <w:kern w:val="0"/>
          <w:sz w:val="24"/>
          <w:lang w:val="en-US" w:eastAsia="zh-CN"/>
        </w:rPr>
        <w:t>公司名称：浙江财信工程咨询有限公司三门分公司；</w:t>
      </w:r>
    </w:p>
    <w:p>
      <w:pPr>
        <w:numPr>
          <w:ilvl w:val="0"/>
          <w:numId w:val="0"/>
        </w:numPr>
        <w:spacing w:line="360" w:lineRule="auto"/>
        <w:ind w:firstLine="960" w:firstLineChars="400"/>
        <w:rPr>
          <w:rFonts w:hint="eastAsia" w:ascii="宋体" w:hAnsi="宋体"/>
          <w:color w:val="auto"/>
          <w:kern w:val="0"/>
          <w:sz w:val="24"/>
          <w:lang w:val="en-US" w:eastAsia="zh-CN"/>
        </w:rPr>
      </w:pPr>
      <w:r>
        <w:rPr>
          <w:rFonts w:hint="eastAsia" w:ascii="宋体" w:hAnsi="宋体"/>
          <w:color w:val="auto"/>
          <w:kern w:val="0"/>
          <w:sz w:val="24"/>
          <w:lang w:val="en-US" w:eastAsia="zh-CN"/>
        </w:rPr>
        <w:t>开户行：中国农业银行股份有限公司三门县支行</w:t>
      </w:r>
    </w:p>
    <w:p>
      <w:pPr>
        <w:numPr>
          <w:ilvl w:val="0"/>
          <w:numId w:val="0"/>
        </w:numPr>
        <w:spacing w:line="360" w:lineRule="auto"/>
        <w:ind w:firstLine="960" w:firstLineChars="400"/>
        <w:rPr>
          <w:rFonts w:hint="eastAsia" w:ascii="宋体" w:hAnsi="宋体"/>
          <w:color w:val="auto"/>
          <w:kern w:val="0"/>
          <w:sz w:val="24"/>
          <w:lang w:val="en-US" w:eastAsia="zh-CN"/>
        </w:rPr>
      </w:pPr>
      <w:r>
        <w:rPr>
          <w:rFonts w:hint="eastAsia" w:ascii="宋体" w:hAnsi="宋体"/>
          <w:color w:val="auto"/>
          <w:kern w:val="0"/>
          <w:sz w:val="24"/>
          <w:lang w:val="en-US" w:eastAsia="zh-CN"/>
        </w:rPr>
        <w:t>帐  号：19950101040042653</w:t>
      </w:r>
    </w:p>
    <w:p>
      <w:pPr>
        <w:numPr>
          <w:ilvl w:val="0"/>
          <w:numId w:val="0"/>
        </w:numPr>
        <w:spacing w:line="360" w:lineRule="auto"/>
        <w:ind w:firstLine="960" w:firstLineChars="400"/>
        <w:rPr>
          <w:rFonts w:hint="eastAsia" w:ascii="宋体" w:hAnsi="宋体"/>
          <w:color w:val="auto"/>
          <w:kern w:val="0"/>
          <w:sz w:val="24"/>
          <w:lang w:val="en-US" w:eastAsia="zh-CN"/>
        </w:rPr>
      </w:pPr>
      <w:r>
        <w:rPr>
          <w:rFonts w:hint="eastAsia" w:ascii="宋体" w:hAnsi="宋体"/>
          <w:color w:val="auto"/>
          <w:kern w:val="0"/>
          <w:sz w:val="24"/>
          <w:lang w:val="en-US" w:eastAsia="zh-CN"/>
        </w:rPr>
        <w:t>汇款摘要：XXX投标保证金</w:t>
      </w:r>
    </w:p>
    <w:p>
      <w:pPr>
        <w:numPr>
          <w:ilvl w:val="0"/>
          <w:numId w:val="0"/>
        </w:numPr>
        <w:spacing w:line="360" w:lineRule="auto"/>
        <w:ind w:firstLine="480" w:firstLineChars="200"/>
        <w:rPr>
          <w:rFonts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投标保证金的有效期：同投标有效期。</w:t>
      </w:r>
    </w:p>
    <w:p>
      <w:pPr>
        <w:spacing w:line="440" w:lineRule="exact"/>
        <w:ind w:firstLine="480"/>
        <w:rPr>
          <w:rFonts w:hint="eastAsia" w:ascii="宋体" w:hAnsi="宋体" w:eastAsia="宋体"/>
          <w:b/>
          <w:bCs/>
          <w:kern w:val="0"/>
          <w:sz w:val="24"/>
          <w:szCs w:val="24"/>
          <w:lang w:eastAsia="zh-CN"/>
        </w:rPr>
      </w:pPr>
      <w:r>
        <w:rPr>
          <w:rFonts w:hint="eastAsia" w:ascii="宋体" w:hAnsi="宋体" w:cs="宋体"/>
          <w:color w:val="auto"/>
          <w:sz w:val="24"/>
          <w:lang w:val="en-US" w:eastAsia="zh-CN"/>
        </w:rPr>
        <w:t>五、</w:t>
      </w:r>
      <w:r>
        <w:rPr>
          <w:rFonts w:hint="eastAsia" w:ascii="宋体" w:hAnsi="宋体" w:eastAsia="宋体"/>
          <w:b/>
          <w:bCs/>
          <w:kern w:val="0"/>
          <w:sz w:val="24"/>
          <w:szCs w:val="24"/>
        </w:rPr>
        <w:t>招标文件的获取</w:t>
      </w:r>
    </w:p>
    <w:p>
      <w:pPr>
        <w:snapToGrid w:val="0"/>
        <w:spacing w:line="360" w:lineRule="auto"/>
        <w:ind w:firstLine="420"/>
        <w:rPr>
          <w:rFonts w:hint="eastAsia" w:ascii="宋体" w:hAnsi="宋体" w:eastAsia="宋体"/>
          <w:sz w:val="24"/>
          <w:szCs w:val="24"/>
          <w:lang w:eastAsia="zh-CN"/>
        </w:rPr>
      </w:pP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w:t>
      </w:r>
      <w:r>
        <w:rPr>
          <w:rFonts w:hint="eastAsia" w:ascii="宋体" w:hAnsi="宋体"/>
          <w:b/>
          <w:bCs/>
          <w:sz w:val="24"/>
          <w:szCs w:val="24"/>
        </w:rPr>
        <w:t>获取时间：</w:t>
      </w:r>
      <w:r>
        <w:rPr>
          <w:rFonts w:hint="eastAsia" w:ascii="宋体" w:hAnsi="宋体"/>
          <w:sz w:val="24"/>
          <w:szCs w:val="24"/>
        </w:rPr>
        <w:t>从202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 06 </w:t>
      </w:r>
      <w:r>
        <w:rPr>
          <w:rFonts w:hint="eastAsia" w:ascii="宋体" w:hAnsi="宋体"/>
          <w:sz w:val="24"/>
          <w:szCs w:val="24"/>
        </w:rPr>
        <w:t>月</w:t>
      </w:r>
      <w:r>
        <w:rPr>
          <w:rFonts w:hint="eastAsia" w:ascii="宋体" w:hAnsi="宋体"/>
          <w:sz w:val="24"/>
          <w:szCs w:val="24"/>
          <w:lang w:val="en-US" w:eastAsia="zh-CN"/>
        </w:rPr>
        <w:t xml:space="preserve">16 </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0分到202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 06 </w:t>
      </w:r>
      <w:r>
        <w:rPr>
          <w:rFonts w:hint="eastAsia" w:ascii="宋体" w:hAnsi="宋体"/>
          <w:sz w:val="24"/>
          <w:szCs w:val="24"/>
        </w:rPr>
        <w:t>月</w:t>
      </w:r>
      <w:r>
        <w:rPr>
          <w:rFonts w:hint="eastAsia" w:ascii="宋体" w:hAnsi="宋体"/>
          <w:sz w:val="24"/>
          <w:szCs w:val="24"/>
          <w:lang w:val="en-US" w:eastAsia="zh-CN"/>
        </w:rPr>
        <w:t xml:space="preserve"> 27</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时00分</w:t>
      </w:r>
      <w:r>
        <w:rPr>
          <w:rFonts w:hint="eastAsia" w:ascii="宋体" w:hAnsi="宋体"/>
          <w:sz w:val="24"/>
          <w:szCs w:val="24"/>
          <w:lang w:eastAsia="zh-CN"/>
        </w:rPr>
        <w:t>。</w:t>
      </w:r>
    </w:p>
    <w:p>
      <w:pPr>
        <w:snapToGrid w:val="0"/>
        <w:spacing w:line="360" w:lineRule="auto"/>
        <w:ind w:firstLine="723" w:firstLineChars="300"/>
        <w:rPr>
          <w:rFonts w:hint="eastAsia" w:ascii="宋体" w:hAnsi="宋体"/>
          <w:b/>
          <w:bCs/>
          <w:sz w:val="24"/>
          <w:szCs w:val="24"/>
        </w:rPr>
      </w:pPr>
      <w:r>
        <w:rPr>
          <w:rFonts w:hint="eastAsia" w:ascii="宋体" w:hAnsi="宋体"/>
          <w:b/>
          <w:bCs/>
          <w:sz w:val="24"/>
          <w:szCs w:val="24"/>
        </w:rPr>
        <w:t>获取方式：</w:t>
      </w:r>
    </w:p>
    <w:p>
      <w:pPr>
        <w:spacing w:line="440" w:lineRule="exact"/>
        <w:ind w:firstLine="480"/>
        <w:rPr>
          <w:rFonts w:hint="eastAsia" w:ascii="宋体" w:hAnsi="宋体" w:eastAsia="宋体"/>
          <w:kern w:val="0"/>
          <w:sz w:val="24"/>
          <w:szCs w:val="24"/>
          <w:lang w:eastAsia="zh-CN"/>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eastAsia="宋体"/>
          <w:kern w:val="0"/>
          <w:sz w:val="24"/>
          <w:szCs w:val="24"/>
        </w:rPr>
        <w:t>本工程实行资格后审，凡有意参加投标者，请于公告发布之日起，可通过“三门县工程建设电子交易平台”（网址：jyzx.sanmen.gov.cn/）自行下载招标文件。</w:t>
      </w:r>
    </w:p>
    <w:p>
      <w:pPr>
        <w:spacing w:line="440" w:lineRule="exact"/>
        <w:rPr>
          <w:rFonts w:hint="eastAsia" w:ascii="宋体" w:hAnsi="宋体" w:eastAsia="宋体" w:cs="宋体"/>
          <w:color w:val="auto"/>
          <w:sz w:val="24"/>
        </w:rPr>
      </w:pPr>
      <w:r>
        <w:rPr>
          <w:rFonts w:hint="eastAsia"/>
          <w:color w:val="000000"/>
          <w:sz w:val="24"/>
          <w:szCs w:val="24"/>
          <w:lang w:val="en-US" w:eastAsia="zh-CN"/>
        </w:rPr>
        <w:t>并</w:t>
      </w:r>
      <w:r>
        <w:rPr>
          <w:rFonts w:hint="eastAsia"/>
          <w:color w:val="000000"/>
          <w:sz w:val="24"/>
          <w:szCs w:val="24"/>
        </w:rPr>
        <w:t>于202</w:t>
      </w:r>
      <w:r>
        <w:rPr>
          <w:rFonts w:hint="eastAsia"/>
          <w:color w:val="000000"/>
          <w:sz w:val="24"/>
          <w:szCs w:val="24"/>
          <w:lang w:val="en-US" w:eastAsia="zh-CN"/>
        </w:rPr>
        <w:t>2</w:t>
      </w:r>
      <w:r>
        <w:rPr>
          <w:rFonts w:hint="eastAsia"/>
          <w:color w:val="000000"/>
          <w:sz w:val="24"/>
          <w:szCs w:val="24"/>
        </w:rPr>
        <w:t>年</w:t>
      </w:r>
      <w:r>
        <w:rPr>
          <w:rFonts w:hint="eastAsia"/>
          <w:color w:val="000000"/>
          <w:sz w:val="24"/>
          <w:szCs w:val="24"/>
          <w:lang w:val="en-US" w:eastAsia="zh-CN"/>
        </w:rPr>
        <w:t xml:space="preserve">06 </w:t>
      </w:r>
      <w:r>
        <w:rPr>
          <w:rFonts w:hint="eastAsia"/>
          <w:color w:val="000000"/>
          <w:sz w:val="24"/>
          <w:szCs w:val="24"/>
        </w:rPr>
        <w:t>月</w:t>
      </w:r>
      <w:r>
        <w:rPr>
          <w:rFonts w:hint="eastAsia"/>
          <w:color w:val="000000"/>
          <w:sz w:val="24"/>
          <w:szCs w:val="24"/>
          <w:lang w:val="en-US" w:eastAsia="zh-CN"/>
        </w:rPr>
        <w:t xml:space="preserve"> 16 </w:t>
      </w:r>
      <w:r>
        <w:rPr>
          <w:rFonts w:hint="eastAsia"/>
          <w:color w:val="000000"/>
          <w:sz w:val="24"/>
          <w:szCs w:val="24"/>
        </w:rPr>
        <w:t>日至202</w:t>
      </w:r>
      <w:r>
        <w:rPr>
          <w:rFonts w:hint="eastAsia"/>
          <w:color w:val="000000"/>
          <w:sz w:val="24"/>
          <w:szCs w:val="24"/>
          <w:lang w:val="en-US" w:eastAsia="zh-CN"/>
        </w:rPr>
        <w:t>2</w:t>
      </w:r>
      <w:r>
        <w:rPr>
          <w:rFonts w:hint="eastAsia"/>
          <w:color w:val="000000"/>
          <w:sz w:val="24"/>
          <w:szCs w:val="24"/>
        </w:rPr>
        <w:t>年</w:t>
      </w:r>
      <w:r>
        <w:rPr>
          <w:rFonts w:hint="eastAsia"/>
          <w:color w:val="000000"/>
          <w:sz w:val="24"/>
          <w:szCs w:val="24"/>
          <w:lang w:val="en-US" w:eastAsia="zh-CN"/>
        </w:rPr>
        <w:t xml:space="preserve"> 06 </w:t>
      </w:r>
      <w:r>
        <w:rPr>
          <w:rFonts w:hint="eastAsia"/>
          <w:color w:val="000000"/>
          <w:sz w:val="24"/>
          <w:szCs w:val="24"/>
        </w:rPr>
        <w:t>月</w:t>
      </w:r>
      <w:r>
        <w:rPr>
          <w:rFonts w:hint="eastAsia"/>
          <w:color w:val="000000"/>
          <w:sz w:val="24"/>
          <w:szCs w:val="24"/>
          <w:lang w:val="en-US" w:eastAsia="zh-CN"/>
        </w:rPr>
        <w:t xml:space="preserve"> 27 </w:t>
      </w:r>
      <w:r>
        <w:rPr>
          <w:rFonts w:hint="eastAsia"/>
          <w:color w:val="000000"/>
          <w:sz w:val="24"/>
          <w:szCs w:val="24"/>
        </w:rPr>
        <w:t>日，每日上午9时至11时，下午14</w:t>
      </w:r>
      <w:r>
        <w:rPr>
          <w:rFonts w:hint="eastAsia"/>
          <w:color w:val="000000"/>
          <w:sz w:val="24"/>
          <w:szCs w:val="24"/>
          <w:lang w:eastAsia="zh-CN"/>
        </w:rPr>
        <w:t>：</w:t>
      </w:r>
      <w:r>
        <w:rPr>
          <w:rFonts w:hint="eastAsia"/>
          <w:color w:val="000000"/>
          <w:sz w:val="24"/>
          <w:szCs w:val="24"/>
          <w:lang w:val="en-US" w:eastAsia="zh-CN"/>
        </w:rPr>
        <w:t>30时</w:t>
      </w:r>
      <w:r>
        <w:rPr>
          <w:rFonts w:hint="eastAsia"/>
          <w:color w:val="000000"/>
          <w:sz w:val="24"/>
          <w:szCs w:val="24"/>
        </w:rPr>
        <w:t>至1</w:t>
      </w:r>
      <w:r>
        <w:rPr>
          <w:rFonts w:hint="eastAsia"/>
          <w:color w:val="000000"/>
          <w:sz w:val="24"/>
          <w:szCs w:val="24"/>
          <w:lang w:val="en-US" w:eastAsia="zh-CN"/>
        </w:rPr>
        <w:t>7</w:t>
      </w:r>
      <w:r>
        <w:rPr>
          <w:rFonts w:hint="eastAsia"/>
          <w:color w:val="000000"/>
          <w:sz w:val="24"/>
          <w:szCs w:val="24"/>
        </w:rPr>
        <w:t>时（北京时间，下同）报名</w:t>
      </w:r>
      <w:r>
        <w:rPr>
          <w:rFonts w:hint="eastAsia" w:ascii="宋体" w:hAnsi="宋体" w:eastAsia="宋体" w:cs="宋体"/>
          <w:color w:val="auto"/>
          <w:sz w:val="24"/>
        </w:rPr>
        <w:t>，报名方式为网上报名</w:t>
      </w:r>
      <w:r>
        <w:rPr>
          <w:rFonts w:hint="eastAsia" w:ascii="宋体" w:hAnsi="宋体" w:eastAsia="宋体" w:cs="宋体"/>
          <w:color w:val="auto"/>
          <w:sz w:val="24"/>
          <w:lang w:eastAsia="zh-CN"/>
        </w:rPr>
        <w:t>，</w:t>
      </w:r>
      <w:r>
        <w:rPr>
          <w:rFonts w:hint="eastAsia" w:ascii="宋体" w:hAnsi="宋体" w:eastAsia="宋体" w:cs="宋体"/>
          <w:color w:val="auto"/>
          <w:sz w:val="24"/>
        </w:rPr>
        <w:t>网上报名：按附件1格式填写</w:t>
      </w:r>
      <w:r>
        <w:rPr>
          <w:rFonts w:hint="eastAsia" w:ascii="宋体" w:hAnsi="宋体" w:eastAsia="宋体" w:cs="宋体"/>
          <w:b/>
          <w:bCs/>
          <w:color w:val="auto"/>
          <w:sz w:val="24"/>
        </w:rPr>
        <w:t>《投标报名申请表》</w:t>
      </w:r>
      <w:r>
        <w:rPr>
          <w:rFonts w:hint="eastAsia" w:ascii="宋体" w:hAnsi="宋体" w:eastAsia="宋体" w:cs="宋体"/>
          <w:color w:val="auto"/>
          <w:sz w:val="24"/>
        </w:rPr>
        <w:t>加盖单位公章，将加盖公章PDF版及可编辑版</w:t>
      </w:r>
      <w:r>
        <w:rPr>
          <w:rFonts w:hint="eastAsia" w:ascii="宋体" w:hAnsi="宋体" w:eastAsia="宋体" w:cs="宋体"/>
          <w:b/>
          <w:bCs/>
          <w:color w:val="auto"/>
          <w:sz w:val="24"/>
        </w:rPr>
        <w:t>《投标报名申请表》</w:t>
      </w:r>
      <w:r>
        <w:rPr>
          <w:rFonts w:hint="eastAsia" w:ascii="宋体" w:hAnsi="宋体" w:eastAsia="宋体" w:cs="宋体"/>
          <w:color w:val="auto"/>
          <w:sz w:val="24"/>
        </w:rPr>
        <w:t>发至招标代理机构邮箱：</w:t>
      </w:r>
      <w:r>
        <w:rPr>
          <w:rFonts w:hint="eastAsia" w:ascii="宋体" w:hAnsi="宋体" w:eastAsia="宋体" w:cs="宋体"/>
          <w:b/>
          <w:bCs/>
          <w:color w:val="auto"/>
          <w:sz w:val="24"/>
          <w:lang w:eastAsia="zh-CN"/>
        </w:rPr>
        <w:t>79036159@qq.com</w:t>
      </w:r>
      <w:r>
        <w:rPr>
          <w:rFonts w:hint="eastAsia" w:ascii="宋体" w:hAnsi="宋体" w:eastAsia="宋体" w:cs="宋体"/>
          <w:color w:val="auto"/>
          <w:sz w:val="24"/>
        </w:rPr>
        <w:t>。</w:t>
      </w:r>
    </w:p>
    <w:p>
      <w:pPr>
        <w:spacing w:line="440" w:lineRule="exact"/>
        <w:ind w:firstLine="480"/>
      </w:pPr>
      <w:r>
        <w:rPr>
          <w:rFonts w:hint="eastAsia" w:ascii="宋体" w:hAnsi="宋体" w:eastAsia="宋体" w:cs="宋体"/>
          <w:color w:val="auto"/>
          <w:sz w:val="24"/>
        </w:rPr>
        <w:t>未在报名截止时间前发送加盖公章PDF版及可编辑版</w:t>
      </w:r>
      <w:r>
        <w:rPr>
          <w:rFonts w:hint="eastAsia" w:ascii="宋体" w:hAnsi="宋体" w:eastAsia="宋体" w:cs="宋体"/>
          <w:b/>
          <w:bCs/>
          <w:color w:val="auto"/>
          <w:sz w:val="24"/>
        </w:rPr>
        <w:t>《投标报名申请》</w:t>
      </w:r>
      <w:r>
        <w:rPr>
          <w:rFonts w:hint="eastAsia" w:ascii="宋体" w:hAnsi="宋体" w:eastAsia="宋体" w:cs="宋体"/>
          <w:color w:val="auto"/>
          <w:sz w:val="24"/>
        </w:rPr>
        <w:t>至上述邮箱的，视为报名不成功。</w:t>
      </w:r>
    </w:p>
    <w:p>
      <w:pPr>
        <w:numPr>
          <w:ilvl w:val="0"/>
          <w:numId w:val="0"/>
        </w:numPr>
        <w:tabs>
          <w:tab w:val="left" w:pos="180"/>
          <w:tab w:val="left" w:pos="360"/>
          <w:tab w:val="left" w:pos="540"/>
          <w:tab w:val="left" w:pos="8280"/>
        </w:tabs>
        <w:autoSpaceDE w:val="0"/>
        <w:autoSpaceDN w:val="0"/>
        <w:adjustRightInd w:val="0"/>
        <w:spacing w:line="440" w:lineRule="exact"/>
        <w:ind w:right="23" w:rightChars="0" w:firstLine="482" w:firstLineChars="200"/>
        <w:jc w:val="left"/>
        <w:rPr>
          <w:rFonts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投标文件递交时间及地址</w:t>
      </w:r>
    </w:p>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递交投标文件的截止时间为</w:t>
      </w:r>
      <w:r>
        <w:rPr>
          <w:rFonts w:hint="eastAsia" w:ascii="宋体" w:hAnsi="宋体"/>
          <w:color w:val="auto"/>
          <w:kern w:val="0"/>
          <w:sz w:val="24"/>
        </w:rPr>
        <w:t>202</w:t>
      </w:r>
      <w:r>
        <w:rPr>
          <w:rFonts w:hint="eastAsia" w:ascii="宋体" w:hAnsi="宋体"/>
          <w:color w:val="auto"/>
          <w:kern w:val="0"/>
          <w:sz w:val="24"/>
          <w:lang w:val="en-US" w:eastAsia="zh-CN"/>
        </w:rPr>
        <w:t>2</w:t>
      </w:r>
      <w:r>
        <w:rPr>
          <w:rFonts w:hint="eastAsia" w:ascii="宋体" w:hAnsi="宋体"/>
          <w:color w:val="auto"/>
          <w:kern w:val="0"/>
          <w:sz w:val="24"/>
        </w:rPr>
        <w:t>年</w:t>
      </w:r>
      <w:r>
        <w:rPr>
          <w:rFonts w:hint="eastAsia" w:ascii="宋体" w:hAnsi="宋体"/>
          <w:color w:val="auto"/>
          <w:kern w:val="0"/>
          <w:sz w:val="24"/>
          <w:lang w:val="en-US" w:eastAsia="zh-CN"/>
        </w:rPr>
        <w:t>07</w:t>
      </w:r>
      <w:r>
        <w:rPr>
          <w:rFonts w:hint="eastAsia" w:ascii="宋体" w:hAnsi="宋体"/>
          <w:color w:val="auto"/>
          <w:kern w:val="0"/>
          <w:sz w:val="24"/>
        </w:rPr>
        <w:t>月</w:t>
      </w:r>
      <w:r>
        <w:rPr>
          <w:rFonts w:hint="eastAsia" w:ascii="宋体" w:hAnsi="宋体"/>
          <w:color w:val="auto"/>
          <w:kern w:val="0"/>
          <w:sz w:val="24"/>
          <w:lang w:val="en-US" w:eastAsia="zh-CN"/>
        </w:rPr>
        <w:t>07</w:t>
      </w:r>
      <w:r>
        <w:rPr>
          <w:rFonts w:hint="eastAsia" w:ascii="宋体" w:hAnsi="宋体"/>
          <w:color w:val="auto"/>
          <w:kern w:val="0"/>
          <w:sz w:val="24"/>
        </w:rPr>
        <w:t>日上午9时30分，</w:t>
      </w:r>
      <w:r>
        <w:rPr>
          <w:rFonts w:hint="eastAsia" w:ascii="宋体" w:hAnsi="宋体" w:cs="宋体"/>
          <w:color w:val="auto"/>
          <w:sz w:val="24"/>
        </w:rPr>
        <w:t>投标人请在此时间前将投标文件递交至</w:t>
      </w:r>
      <w:r>
        <w:rPr>
          <w:rFonts w:hint="eastAsia" w:ascii="宋体" w:hAnsi="宋体" w:cs="宋体"/>
          <w:color w:val="auto"/>
          <w:kern w:val="0"/>
          <w:sz w:val="24"/>
          <w:lang w:eastAsia="zh-CN"/>
        </w:rPr>
        <w:t>三门县大通运输有限公司恒驰出租车分公司</w:t>
      </w:r>
      <w:r>
        <w:rPr>
          <w:rFonts w:hint="eastAsia" w:ascii="宋体" w:hAnsi="宋体" w:cs="宋体"/>
          <w:color w:val="auto"/>
          <w:kern w:val="0"/>
          <w:sz w:val="24"/>
          <w:lang w:val="en-US" w:eastAsia="zh-CN"/>
        </w:rPr>
        <w:t>三</w:t>
      </w:r>
      <w:r>
        <w:rPr>
          <w:rFonts w:hint="eastAsia" w:ascii="宋体" w:hAnsi="宋体" w:cs="宋体"/>
          <w:color w:val="auto"/>
          <w:sz w:val="24"/>
        </w:rPr>
        <w:t>楼会议室，在此时间后送达的投标文件将不再接受，且未按规定递交投标保证金的投标文件将被拒绝。</w:t>
      </w:r>
    </w:p>
    <w:p>
      <w:pPr>
        <w:tabs>
          <w:tab w:val="left" w:pos="180"/>
          <w:tab w:val="left" w:pos="360"/>
          <w:tab w:val="left" w:pos="540"/>
          <w:tab w:val="left" w:pos="8280"/>
        </w:tabs>
        <w:autoSpaceDE w:val="0"/>
        <w:autoSpaceDN w:val="0"/>
        <w:adjustRightInd w:val="0"/>
        <w:spacing w:line="440" w:lineRule="exact"/>
        <w:ind w:left="420" w:right="23"/>
        <w:jc w:val="left"/>
        <w:rPr>
          <w:rFonts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、联系方式：</w:t>
      </w:r>
    </w:p>
    <w:p>
      <w:pPr>
        <w:widowControl/>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 xml:space="preserve">采购方联系人：叶贤忠 ；        联系电话：13906551601 </w:t>
      </w:r>
    </w:p>
    <w:p>
      <w:pPr>
        <w:widowControl/>
        <w:spacing w:line="360" w:lineRule="auto"/>
        <w:ind w:left="420" w:leftChars="200"/>
        <w:jc w:val="left"/>
        <w:rPr>
          <w:rFonts w:ascii="宋体" w:hAnsi="宋体" w:cs="宋体"/>
          <w:color w:val="auto"/>
          <w:kern w:val="0"/>
          <w:sz w:val="24"/>
        </w:rPr>
      </w:pPr>
      <w:r>
        <w:rPr>
          <w:rFonts w:hint="eastAsia" w:ascii="宋体" w:hAnsi="宋体" w:cs="宋体"/>
          <w:color w:val="auto"/>
          <w:kern w:val="0"/>
          <w:sz w:val="24"/>
        </w:rPr>
        <w:t>代理方联系人：</w:t>
      </w:r>
      <w:r>
        <w:rPr>
          <w:rFonts w:hint="eastAsia" w:ascii="宋体" w:hAnsi="宋体" w:cs="宋体"/>
          <w:color w:val="auto"/>
          <w:kern w:val="0"/>
          <w:sz w:val="24"/>
          <w:lang w:val="en-US" w:eastAsia="zh-CN"/>
        </w:rPr>
        <w:t>倪忠钻</w:t>
      </w:r>
      <w:r>
        <w:rPr>
          <w:rFonts w:hint="eastAsia" w:ascii="宋体" w:hAnsi="宋体" w:cs="宋体"/>
          <w:color w:val="auto"/>
          <w:kern w:val="0"/>
          <w:sz w:val="24"/>
        </w:rPr>
        <w:t xml:space="preserve"> ；        联系电话：0576-83322830</w:t>
      </w:r>
    </w:p>
    <w:p>
      <w:pPr>
        <w:spacing w:line="400" w:lineRule="exact"/>
        <w:ind w:right="10"/>
        <w:jc w:val="right"/>
        <w:rPr>
          <w:rFonts w:hint="eastAsia" w:ascii="宋体" w:hAnsi="宋体" w:cs="Arial"/>
          <w:color w:val="auto"/>
          <w:kern w:val="1"/>
          <w:sz w:val="24"/>
        </w:rPr>
      </w:pPr>
    </w:p>
    <w:p>
      <w:pPr>
        <w:spacing w:line="400" w:lineRule="exact"/>
        <w:ind w:right="10"/>
        <w:jc w:val="right"/>
        <w:rPr>
          <w:rFonts w:hint="eastAsia" w:ascii="宋体" w:hAnsi="宋体" w:cs="Arial"/>
          <w:color w:val="auto"/>
          <w:kern w:val="1"/>
          <w:sz w:val="24"/>
        </w:rPr>
      </w:pPr>
    </w:p>
    <w:p>
      <w:pPr>
        <w:spacing w:line="400" w:lineRule="exact"/>
        <w:ind w:right="10"/>
        <w:jc w:val="right"/>
        <w:rPr>
          <w:rFonts w:hint="eastAsia" w:ascii="宋体" w:hAnsi="宋体" w:cs="Arial"/>
          <w:color w:val="auto"/>
          <w:kern w:val="1"/>
          <w:sz w:val="24"/>
          <w:lang w:eastAsia="zh-CN"/>
        </w:rPr>
      </w:pPr>
      <w:r>
        <w:rPr>
          <w:rFonts w:hint="eastAsia" w:ascii="宋体" w:hAnsi="宋体" w:cs="Arial"/>
          <w:color w:val="auto"/>
          <w:kern w:val="1"/>
          <w:sz w:val="24"/>
          <w:lang w:eastAsia="zh-CN"/>
        </w:rPr>
        <w:t>三门县大通运输有限公司恒驰出租车分公司</w:t>
      </w:r>
    </w:p>
    <w:p>
      <w:pPr>
        <w:spacing w:line="400" w:lineRule="exact"/>
        <w:ind w:right="10"/>
        <w:jc w:val="right"/>
        <w:rPr>
          <w:rFonts w:ascii="宋体" w:hAnsi="宋体" w:cs="Arial"/>
          <w:color w:val="auto"/>
          <w:kern w:val="1"/>
          <w:sz w:val="24"/>
        </w:rPr>
      </w:pPr>
      <w:r>
        <w:rPr>
          <w:rFonts w:hint="eastAsia" w:ascii="宋体" w:hAnsi="宋体" w:cs="Arial"/>
          <w:color w:val="auto"/>
          <w:kern w:val="1"/>
          <w:sz w:val="24"/>
          <w:lang w:eastAsia="zh-CN"/>
        </w:rPr>
        <w:t>浙江</w:t>
      </w:r>
      <w:r>
        <w:rPr>
          <w:rFonts w:hint="eastAsia" w:ascii="宋体" w:hAnsi="宋体" w:cs="Arial"/>
          <w:color w:val="auto"/>
          <w:kern w:val="1"/>
          <w:sz w:val="24"/>
          <w:lang w:val="en-US" w:eastAsia="zh-CN"/>
        </w:rPr>
        <w:t>财信</w:t>
      </w:r>
      <w:r>
        <w:rPr>
          <w:rFonts w:hint="eastAsia" w:ascii="宋体" w:hAnsi="宋体" w:cs="Arial"/>
          <w:color w:val="auto"/>
          <w:kern w:val="1"/>
          <w:sz w:val="24"/>
          <w:lang w:eastAsia="zh-CN"/>
        </w:rPr>
        <w:t>工程咨询有限公司</w:t>
      </w:r>
    </w:p>
    <w:p>
      <w:pPr>
        <w:widowControl/>
        <w:spacing w:line="360" w:lineRule="auto"/>
        <w:jc w:val="left"/>
        <w:rPr>
          <w:rFonts w:ascii="宋体" w:hAnsi="宋体" w:cs="宋体"/>
          <w:b/>
          <w:kern w:val="0"/>
          <w:sz w:val="32"/>
          <w:szCs w:val="32"/>
        </w:rPr>
      </w:pPr>
      <w:r>
        <w:rPr>
          <w:rFonts w:hint="eastAsia" w:ascii="宋体" w:hAnsi="宋体" w:cs="Arial"/>
          <w:color w:val="auto"/>
          <w:kern w:val="1"/>
          <w:sz w:val="24"/>
          <w:lang w:val="en-US" w:eastAsia="zh-CN"/>
        </w:rPr>
        <w:t xml:space="preserve">                                                   </w:t>
      </w:r>
      <w:r>
        <w:rPr>
          <w:rFonts w:ascii="宋体" w:hAnsi="宋体" w:cs="Arial"/>
          <w:color w:val="auto"/>
          <w:kern w:val="1"/>
          <w:sz w:val="24"/>
        </w:rPr>
        <w:t>20</w:t>
      </w:r>
      <w:r>
        <w:rPr>
          <w:rFonts w:hint="eastAsia" w:ascii="宋体" w:hAnsi="宋体" w:cs="Arial"/>
          <w:color w:val="auto"/>
          <w:kern w:val="1"/>
          <w:sz w:val="24"/>
          <w:lang w:val="en-US" w:eastAsia="zh-CN"/>
        </w:rPr>
        <w:t>22</w:t>
      </w:r>
      <w:r>
        <w:rPr>
          <w:rFonts w:hint="eastAsia" w:ascii="宋体" w:hAnsi="宋体" w:cs="Arial"/>
          <w:color w:val="auto"/>
          <w:kern w:val="1"/>
          <w:sz w:val="24"/>
        </w:rPr>
        <w:t>年</w:t>
      </w:r>
      <w:r>
        <w:rPr>
          <w:rFonts w:hint="eastAsia" w:ascii="宋体" w:hAnsi="宋体" w:cs="Arial"/>
          <w:color w:val="auto"/>
          <w:kern w:val="1"/>
          <w:sz w:val="24"/>
          <w:lang w:val="en-US" w:eastAsia="zh-CN"/>
        </w:rPr>
        <w:t>6</w:t>
      </w:r>
      <w:r>
        <w:rPr>
          <w:rFonts w:hint="eastAsia" w:ascii="宋体" w:hAnsi="宋体" w:cs="Arial"/>
          <w:color w:val="auto"/>
          <w:kern w:val="1"/>
          <w:sz w:val="24"/>
        </w:rPr>
        <w:t>月</w:t>
      </w:r>
      <w:r>
        <w:rPr>
          <w:rFonts w:hint="eastAsia" w:ascii="宋体" w:hAnsi="宋体" w:cs="Arial"/>
          <w:color w:val="auto"/>
          <w:kern w:val="1"/>
          <w:sz w:val="24"/>
          <w:lang w:val="en-US" w:eastAsia="zh-CN"/>
        </w:rPr>
        <w:t>16</w:t>
      </w:r>
      <w:r>
        <w:rPr>
          <w:rFonts w:hint="eastAsia" w:ascii="宋体" w:hAnsi="宋体" w:cs="Arial"/>
          <w:color w:val="auto"/>
          <w:kern w:val="1"/>
          <w:sz w:val="24"/>
        </w:rPr>
        <w:t>日</w:t>
      </w:r>
      <w:r>
        <w:rPr>
          <w:rFonts w:cs="Arial"/>
          <w:color w:val="auto"/>
          <w:kern w:val="1"/>
          <w:sz w:val="24"/>
        </w:rPr>
        <w:br w:type="page"/>
      </w:r>
      <w:r>
        <w:rPr>
          <w:rFonts w:hint="eastAsia" w:ascii="宋体" w:hAnsi="宋体" w:cs="宋体"/>
          <w:b/>
          <w:kern w:val="0"/>
          <w:sz w:val="32"/>
          <w:szCs w:val="32"/>
        </w:rPr>
        <w:t>附件1：</w:t>
      </w:r>
    </w:p>
    <w:p>
      <w:pPr>
        <w:widowControl/>
        <w:spacing w:line="360" w:lineRule="auto"/>
        <w:jc w:val="center"/>
        <w:rPr>
          <w:rFonts w:hint="eastAsia" w:ascii="宋体" w:hAnsi="宋体" w:cs="宋体"/>
          <w:b/>
          <w:kern w:val="0"/>
          <w:sz w:val="32"/>
          <w:szCs w:val="32"/>
        </w:rPr>
      </w:pPr>
    </w:p>
    <w:p>
      <w:pPr>
        <w:widowControl/>
        <w:spacing w:line="360" w:lineRule="auto"/>
        <w:jc w:val="center"/>
        <w:rPr>
          <w:rFonts w:hint="eastAsia" w:ascii="宋体" w:hAnsi="宋体" w:cs="宋体"/>
          <w:b/>
          <w:kern w:val="0"/>
          <w:sz w:val="32"/>
          <w:szCs w:val="32"/>
        </w:rPr>
      </w:pPr>
    </w:p>
    <w:p>
      <w:pPr>
        <w:widowControl/>
        <w:spacing w:line="360" w:lineRule="auto"/>
        <w:jc w:val="center"/>
        <w:rPr>
          <w:rFonts w:ascii="宋体" w:hAnsi="宋体" w:cs="宋体"/>
          <w:kern w:val="0"/>
          <w:sz w:val="24"/>
          <w:szCs w:val="24"/>
        </w:rPr>
      </w:pPr>
      <w:r>
        <w:rPr>
          <w:rFonts w:hint="eastAsia" w:ascii="宋体" w:hAnsi="宋体" w:cs="宋体"/>
          <w:b/>
          <w:kern w:val="0"/>
          <w:sz w:val="32"/>
          <w:szCs w:val="32"/>
        </w:rPr>
        <w:t>投标报名申请表</w:t>
      </w:r>
    </w:p>
    <w:tbl>
      <w:tblPr>
        <w:tblStyle w:val="29"/>
        <w:tblpPr w:leftFromText="180" w:rightFromText="180" w:topFromText="100" w:bottomFromText="100" w:vertAnchor="text" w:horzAnchor="page" w:tblpX="1160" w:tblpY="2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23"/>
        <w:gridCol w:w="1081"/>
        <w:gridCol w:w="961"/>
        <w:gridCol w:w="962"/>
        <w:gridCol w:w="1201"/>
        <w:gridCol w:w="120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投标人名称</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项目名称</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ascii="宋体" w:hAnsi="宋体" w:cs="宋体"/>
                <w:b/>
                <w:kern w:val="0"/>
                <w:sz w:val="24"/>
                <w:szCs w:val="21"/>
              </w:rPr>
              <w:t>项目编号</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联系人</w:t>
            </w:r>
          </w:p>
        </w:tc>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联系电话</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邮箱</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 xml:space="preserve">邮寄地址 </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rPr>
            </w:pPr>
            <w:r>
              <w:rPr>
                <w:rFonts w:hint="eastAsia" w:ascii="宋体" w:hAnsi="宋体" w:cs="宋体"/>
                <w:b/>
                <w:kern w:val="0"/>
                <w:sz w:val="24"/>
                <w:szCs w:val="21"/>
              </w:rPr>
              <w:t>统一社会信用代码证号或纳税人识别号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666666"/>
                <w:kern w:val="0"/>
                <w:sz w:val="24"/>
                <w:szCs w:val="24"/>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666666"/>
                <w:kern w:val="0"/>
                <w:sz w:val="18"/>
                <w:szCs w:val="18"/>
              </w:rPr>
            </w:pPr>
          </w:p>
        </w:tc>
        <w:tc>
          <w:tcPr>
            <w:tcW w:w="1201" w:type="dxa"/>
            <w:noWrap w:val="0"/>
            <w:vAlign w:val="center"/>
          </w:tcPr>
          <w:p>
            <w:pPr>
              <w:widowControl/>
              <w:jc w:val="left"/>
              <w:rPr>
                <w:rFonts w:ascii="宋体" w:hAnsi="宋体"/>
                <w:kern w:val="0"/>
                <w:sz w:val="20"/>
              </w:rPr>
            </w:pPr>
          </w:p>
        </w:tc>
        <w:tc>
          <w:tcPr>
            <w:tcW w:w="1202" w:type="dxa"/>
            <w:noWrap w:val="0"/>
            <w:vAlign w:val="center"/>
          </w:tcPr>
          <w:p>
            <w:pPr>
              <w:widowControl/>
              <w:jc w:val="left"/>
              <w:rPr>
                <w:rFonts w:ascii="宋体" w:hAnsi="宋体"/>
                <w:kern w:val="0"/>
                <w:sz w:val="20"/>
              </w:rPr>
            </w:pPr>
          </w:p>
        </w:tc>
        <w:tc>
          <w:tcPr>
            <w:tcW w:w="1700" w:type="dxa"/>
            <w:noWrap w:val="0"/>
            <w:vAlign w:val="center"/>
          </w:tcPr>
          <w:p>
            <w:pPr>
              <w:widowControl/>
              <w:jc w:val="left"/>
              <w:rPr>
                <w:rFonts w:ascii="宋体" w:hAnsi="宋体"/>
                <w:kern w:val="0"/>
                <w:sz w:val="20"/>
              </w:rPr>
            </w:pPr>
          </w:p>
        </w:tc>
      </w:tr>
    </w:tbl>
    <w:p>
      <w:pPr>
        <w:adjustRightInd w:val="0"/>
        <w:spacing w:line="360" w:lineRule="exact"/>
        <w:rPr>
          <w:rFonts w:hint="eastAsia" w:ascii="宋体" w:hAnsi="宋体"/>
          <w:b/>
        </w:rPr>
      </w:pPr>
    </w:p>
    <w:p>
      <w:pPr>
        <w:adjustRightInd w:val="0"/>
        <w:spacing w:line="360" w:lineRule="exact"/>
        <w:rPr>
          <w:rFonts w:hint="eastAsia" w:ascii="宋体" w:hAnsi="宋体"/>
          <w:b/>
        </w:rPr>
      </w:pPr>
      <w:r>
        <w:rPr>
          <w:rFonts w:hint="eastAsia" w:ascii="宋体" w:hAnsi="宋体"/>
          <w:b/>
        </w:rPr>
        <w:t>注：1、投标报名申请表发送给招标代理机构邮箱时须提供可编辑版（Word）。</w:t>
      </w:r>
    </w:p>
    <w:p>
      <w:pPr>
        <w:numPr>
          <w:ilvl w:val="0"/>
          <w:numId w:val="6"/>
        </w:numPr>
        <w:adjustRightInd w:val="0"/>
        <w:spacing w:line="360" w:lineRule="exact"/>
        <w:rPr>
          <w:rFonts w:hint="eastAsia" w:ascii="宋体" w:hAnsi="宋体"/>
          <w:sz w:val="24"/>
          <w:szCs w:val="22"/>
        </w:rPr>
      </w:pPr>
      <w:r>
        <w:rPr>
          <w:rFonts w:hint="eastAsia" w:ascii="宋体" w:hAnsi="宋体"/>
          <w:b/>
        </w:rPr>
        <w:t>邮件标题请注明单位全称</w:t>
      </w:r>
      <w:r>
        <w:rPr>
          <w:rFonts w:ascii="宋体" w:hAnsi="宋体"/>
          <w:b/>
        </w:rPr>
        <w:t>+</w:t>
      </w:r>
      <w:r>
        <w:rPr>
          <w:rFonts w:hint="eastAsia" w:ascii="宋体" w:hAnsi="宋体"/>
          <w:b/>
        </w:rPr>
        <w:t>投标报名申请表。</w:t>
      </w:r>
    </w:p>
    <w:p>
      <w:pPr>
        <w:spacing w:line="440" w:lineRule="exact"/>
        <w:jc w:val="both"/>
        <w:rPr>
          <w:rFonts w:ascii="宋体" w:hAnsi="宋体" w:cs="宋体"/>
          <w:bCs/>
          <w:color w:val="auto"/>
          <w:szCs w:val="21"/>
        </w:rPr>
      </w:pPr>
      <w:r>
        <w:rPr>
          <w:rFonts w:hint="eastAsia" w:ascii="宋体" w:hAnsi="宋体" w:cs="宋体"/>
          <w:bCs/>
          <w:color w:val="auto"/>
          <w:szCs w:val="21"/>
        </w:rPr>
        <w:br w:type="page"/>
      </w:r>
    </w:p>
    <w:p>
      <w:pPr>
        <w:numPr>
          <w:ilvl w:val="0"/>
          <w:numId w:val="7"/>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p>
    <w:p>
      <w:pPr>
        <w:spacing w:line="360" w:lineRule="exact"/>
        <w:ind w:firstLine="3" w:firstLineChars="1"/>
        <w:jc w:val="center"/>
        <w:rPr>
          <w:rFonts w:ascii="宋体" w:hAnsi="宋体" w:cs="宋体"/>
          <w:b/>
          <w:color w:val="auto"/>
          <w:sz w:val="28"/>
          <w:szCs w:val="28"/>
        </w:rPr>
      </w:pPr>
      <w:bookmarkStart w:id="0" w:name="_Toc306901445"/>
      <w:bookmarkStart w:id="1" w:name="_Toc283973075"/>
      <w:bookmarkStart w:id="2" w:name="_Toc302983094"/>
      <w:r>
        <w:rPr>
          <w:rFonts w:hint="eastAsia" w:ascii="宋体" w:hAnsi="宋体" w:cs="宋体"/>
          <w:b/>
          <w:color w:val="auto"/>
          <w:sz w:val="28"/>
          <w:szCs w:val="28"/>
        </w:rPr>
        <w:t>前附表</w:t>
      </w:r>
      <w:bookmarkEnd w:id="0"/>
      <w:bookmarkEnd w:id="1"/>
      <w:bookmarkEnd w:id="2"/>
    </w:p>
    <w:tbl>
      <w:tblPr>
        <w:tblStyle w:val="29"/>
        <w:tblW w:w="999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889"/>
        <w:gridCol w:w="73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38" w:type="dxa"/>
            <w:vAlign w:val="center"/>
          </w:tcPr>
          <w:p>
            <w:pPr>
              <w:spacing w:line="300" w:lineRule="exact"/>
              <w:jc w:val="center"/>
              <w:rPr>
                <w:rFonts w:ascii="宋体" w:hAnsi="宋体" w:cs="宋体"/>
                <w:b/>
                <w:color w:val="auto"/>
                <w:szCs w:val="21"/>
              </w:rPr>
            </w:pPr>
            <w:r>
              <w:rPr>
                <w:rFonts w:hint="eastAsia" w:ascii="宋体" w:hAnsi="宋体" w:cs="宋体"/>
                <w:b/>
                <w:color w:val="auto"/>
                <w:szCs w:val="21"/>
              </w:rPr>
              <w:t>序号</w:t>
            </w:r>
          </w:p>
        </w:tc>
        <w:tc>
          <w:tcPr>
            <w:tcW w:w="1889" w:type="dxa"/>
            <w:vAlign w:val="center"/>
          </w:tcPr>
          <w:p>
            <w:pPr>
              <w:spacing w:line="300" w:lineRule="exact"/>
              <w:ind w:firstLine="211" w:firstLineChars="100"/>
              <w:jc w:val="center"/>
              <w:rPr>
                <w:rFonts w:ascii="宋体" w:hAnsi="宋体" w:cs="宋体"/>
                <w:b/>
                <w:color w:val="auto"/>
                <w:szCs w:val="21"/>
              </w:rPr>
            </w:pPr>
            <w:r>
              <w:rPr>
                <w:rFonts w:hint="eastAsia" w:ascii="宋体" w:hAnsi="宋体" w:cs="宋体"/>
                <w:b/>
                <w:color w:val="auto"/>
                <w:szCs w:val="21"/>
              </w:rPr>
              <w:t>项   目</w:t>
            </w:r>
          </w:p>
        </w:tc>
        <w:tc>
          <w:tcPr>
            <w:tcW w:w="7364" w:type="dxa"/>
            <w:vAlign w:val="center"/>
          </w:tcPr>
          <w:p>
            <w:pPr>
              <w:spacing w:line="300" w:lineRule="exact"/>
              <w:jc w:val="center"/>
              <w:rPr>
                <w:rFonts w:ascii="宋体" w:hAnsi="宋体" w:cs="宋体"/>
                <w:b/>
                <w:color w:val="auto"/>
                <w:szCs w:val="21"/>
              </w:rPr>
            </w:pPr>
            <w:r>
              <w:rPr>
                <w:rFonts w:hint="eastAsia" w:ascii="宋体" w:hAnsi="宋体" w:cs="宋体"/>
                <w:b/>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项目名称</w:t>
            </w:r>
          </w:p>
        </w:tc>
        <w:tc>
          <w:tcPr>
            <w:tcW w:w="7364" w:type="dxa"/>
            <w:vAlign w:val="center"/>
          </w:tcPr>
          <w:p>
            <w:pPr>
              <w:spacing w:line="360" w:lineRule="exact"/>
              <w:ind w:firstLine="2" w:firstLineChars="1"/>
              <w:rPr>
                <w:rFonts w:ascii="宋体" w:hAnsi="宋体" w:cs="宋体"/>
                <w:bCs/>
                <w:color w:val="auto"/>
                <w:szCs w:val="21"/>
              </w:rPr>
            </w:pPr>
            <w:r>
              <w:rPr>
                <w:rFonts w:hint="eastAsia"/>
                <w:color w:val="auto"/>
                <w:szCs w:val="21"/>
                <w:lang w:eastAsia="zh-CN"/>
              </w:rPr>
              <w:t>三门县大通运输有限公司恒驰出租车分公司</w:t>
            </w:r>
            <w:r>
              <w:rPr>
                <w:rFonts w:hint="eastAsia"/>
                <w:color w:val="auto"/>
                <w:szCs w:val="21"/>
              </w:rPr>
              <w:t>出租车采购项目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2</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采购人</w:t>
            </w:r>
          </w:p>
        </w:tc>
        <w:tc>
          <w:tcPr>
            <w:tcW w:w="7364" w:type="dxa"/>
            <w:vAlign w:val="center"/>
          </w:tcPr>
          <w:p>
            <w:pPr>
              <w:spacing w:line="360" w:lineRule="exact"/>
              <w:ind w:firstLine="2" w:firstLineChars="1"/>
              <w:rPr>
                <w:rFonts w:hint="eastAsia" w:ascii="宋体" w:hAnsi="宋体" w:eastAsia="宋体" w:cs="宋体"/>
                <w:bCs/>
                <w:color w:val="auto"/>
                <w:szCs w:val="21"/>
                <w:lang w:eastAsia="zh-CN"/>
              </w:rPr>
            </w:pPr>
            <w:r>
              <w:rPr>
                <w:rFonts w:hint="eastAsia" w:ascii="宋体" w:hAnsi="宋体" w:cs="宋体"/>
                <w:bCs/>
                <w:color w:val="auto"/>
                <w:szCs w:val="21"/>
                <w:lang w:eastAsia="zh-CN"/>
              </w:rPr>
              <w:t>三门县大通运输有限公司恒驰出租车分公司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3</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采购内容</w:t>
            </w:r>
          </w:p>
        </w:tc>
        <w:tc>
          <w:tcPr>
            <w:tcW w:w="7364" w:type="dxa"/>
            <w:vAlign w:val="center"/>
          </w:tcPr>
          <w:p>
            <w:pPr>
              <w:spacing w:line="360" w:lineRule="exact"/>
              <w:ind w:firstLine="2" w:firstLineChars="1"/>
              <w:rPr>
                <w:rFonts w:ascii="宋体" w:hAnsi="宋体" w:cs="宋体"/>
                <w:bCs/>
                <w:color w:val="auto"/>
                <w:szCs w:val="21"/>
              </w:rPr>
            </w:pPr>
            <w:r>
              <w:rPr>
                <w:rFonts w:hint="eastAsia" w:ascii="宋体" w:hAnsi="宋体" w:cs="宋体"/>
                <w:bCs/>
                <w:color w:val="auto"/>
                <w:szCs w:val="21"/>
              </w:rPr>
              <w:t>详见本招标文件“第二章 采购内容及需求”内容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4</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采购资金来源</w:t>
            </w:r>
          </w:p>
        </w:tc>
        <w:tc>
          <w:tcPr>
            <w:tcW w:w="7364" w:type="dxa"/>
            <w:vAlign w:val="center"/>
          </w:tcPr>
          <w:p>
            <w:pPr>
              <w:adjustRightInd w:val="0"/>
              <w:snapToGrid w:val="0"/>
              <w:spacing w:line="360" w:lineRule="exact"/>
              <w:rPr>
                <w:rFonts w:ascii="宋体" w:hAnsi="宋体" w:cs="宋体"/>
                <w:bCs/>
                <w:color w:val="auto"/>
                <w:szCs w:val="21"/>
              </w:rPr>
            </w:pPr>
            <w:r>
              <w:rPr>
                <w:rFonts w:hint="eastAsia" w:ascii="宋体" w:hAnsi="宋体"/>
                <w:color w:val="auto"/>
                <w:szCs w:val="21"/>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5</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采购方式</w:t>
            </w:r>
          </w:p>
        </w:tc>
        <w:tc>
          <w:tcPr>
            <w:tcW w:w="7364" w:type="dxa"/>
            <w:vAlign w:val="center"/>
          </w:tcPr>
          <w:p>
            <w:pPr>
              <w:rPr>
                <w:rFonts w:ascii="宋体" w:hAnsi="宋体" w:cs="宋体"/>
                <w:bCs/>
                <w:color w:val="auto"/>
                <w:szCs w:val="21"/>
              </w:rPr>
            </w:pPr>
            <w:r>
              <w:rPr>
                <w:rFonts w:hint="eastAsia" w:ascii="宋体" w:hAnsi="宋体" w:cs="宋体"/>
                <w:bCs/>
                <w:color w:val="auto"/>
                <w:szCs w:val="21"/>
                <w:lang w:val="en-US" w:eastAsia="zh-CN"/>
              </w:rPr>
              <w:t>公开</w:t>
            </w:r>
            <w:r>
              <w:rPr>
                <w:rFonts w:hint="eastAsia" w:ascii="宋体" w:hAnsi="宋体" w:cs="宋体"/>
                <w:bCs/>
                <w:color w:val="auto"/>
                <w:szCs w:val="21"/>
              </w:rPr>
              <w:t>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6</w:t>
            </w:r>
          </w:p>
        </w:tc>
        <w:tc>
          <w:tcPr>
            <w:tcW w:w="1889" w:type="dxa"/>
            <w:vAlign w:val="center"/>
          </w:tcPr>
          <w:p>
            <w:pPr>
              <w:spacing w:line="360" w:lineRule="auto"/>
              <w:rPr>
                <w:rFonts w:ascii="宋体" w:hAnsi="宋体"/>
                <w:color w:val="auto"/>
                <w:szCs w:val="21"/>
              </w:rPr>
            </w:pPr>
            <w:r>
              <w:rPr>
                <w:rFonts w:hint="eastAsia" w:ascii="宋体" w:hAnsi="宋体" w:cs="宋体"/>
                <w:bCs/>
                <w:color w:val="auto"/>
                <w:szCs w:val="21"/>
              </w:rPr>
              <w:t>供应</w:t>
            </w:r>
            <w:r>
              <w:rPr>
                <w:rFonts w:hint="eastAsia" w:ascii="宋体" w:hAnsi="宋体"/>
                <w:bCs/>
                <w:color w:val="auto"/>
                <w:szCs w:val="21"/>
              </w:rPr>
              <w:t>商资格要</w:t>
            </w:r>
            <w:r>
              <w:rPr>
                <w:rFonts w:hint="eastAsia" w:ascii="宋体" w:hAnsi="宋体" w:cs="宋体"/>
                <w:bCs/>
                <w:color w:val="auto"/>
                <w:szCs w:val="21"/>
              </w:rPr>
              <w:t>求</w:t>
            </w:r>
          </w:p>
        </w:tc>
        <w:tc>
          <w:tcPr>
            <w:tcW w:w="7364" w:type="dxa"/>
            <w:vAlign w:val="center"/>
          </w:tcPr>
          <w:p>
            <w:pPr>
              <w:numPr>
                <w:ilvl w:val="0"/>
                <w:numId w:val="8"/>
              </w:numPr>
              <w:spacing w:line="360" w:lineRule="auto"/>
              <w:rPr>
                <w:rFonts w:ascii="宋体" w:hAnsi="宋体"/>
                <w:color w:val="auto"/>
                <w:kern w:val="0"/>
                <w:szCs w:val="22"/>
              </w:rPr>
            </w:pPr>
            <w:r>
              <w:rPr>
                <w:rFonts w:hint="eastAsia" w:ascii="宋体" w:hAnsi="宋体"/>
                <w:color w:val="auto"/>
                <w:kern w:val="0"/>
                <w:szCs w:val="22"/>
              </w:rPr>
              <w:t>符合《中华人民共和国政府采购法》第二十二条供应商应当具备的条件和浙财采监【2013】24号《关于规范政府采购供应商资格设定及资格审查的通知》第六条规定。</w:t>
            </w:r>
          </w:p>
          <w:p>
            <w:pPr>
              <w:numPr>
                <w:ilvl w:val="0"/>
                <w:numId w:val="8"/>
              </w:numPr>
              <w:spacing w:line="360" w:lineRule="auto"/>
              <w:rPr>
                <w:rFonts w:ascii="宋体" w:hAnsi="宋体"/>
                <w:color w:val="auto"/>
                <w:kern w:val="0"/>
                <w:szCs w:val="22"/>
              </w:rPr>
            </w:pPr>
            <w:r>
              <w:rPr>
                <w:rFonts w:hint="eastAsia" w:ascii="宋体" w:hAnsi="宋体"/>
                <w:color w:val="auto"/>
                <w:kern w:val="0"/>
                <w:szCs w:val="22"/>
              </w:rPr>
              <w:t>具有与本项目采购需求相适应商品经营能力（包括供应能力、售后服务能力、安装能力、维保能力）的4S店或经销商；</w:t>
            </w:r>
          </w:p>
          <w:p>
            <w:pPr>
              <w:numPr>
                <w:ilvl w:val="0"/>
                <w:numId w:val="8"/>
              </w:numPr>
              <w:spacing w:line="360" w:lineRule="auto"/>
              <w:rPr>
                <w:rFonts w:ascii="宋体" w:hAnsi="宋体"/>
                <w:color w:val="auto"/>
                <w:szCs w:val="21"/>
              </w:rPr>
            </w:pPr>
            <w:r>
              <w:rPr>
                <w:rFonts w:hint="eastAsia" w:ascii="宋体" w:hAnsi="宋体"/>
                <w:color w:val="auto"/>
                <w:kern w:val="0"/>
                <w:szCs w:val="22"/>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7</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服务期/供货期</w:t>
            </w:r>
          </w:p>
        </w:tc>
        <w:tc>
          <w:tcPr>
            <w:tcW w:w="7364" w:type="dxa"/>
            <w:vAlign w:val="center"/>
          </w:tcPr>
          <w:p>
            <w:pPr>
              <w:spacing w:line="360" w:lineRule="exact"/>
              <w:jc w:val="left"/>
              <w:rPr>
                <w:rFonts w:ascii="宋体" w:hAnsi="宋体" w:cs="宋体"/>
                <w:bCs/>
                <w:color w:val="auto"/>
                <w:szCs w:val="21"/>
              </w:rPr>
            </w:pPr>
            <w:r>
              <w:rPr>
                <w:rFonts w:hint="eastAsia" w:ascii="宋体" w:hAnsi="宋体"/>
                <w:color w:val="auto"/>
                <w:szCs w:val="21"/>
              </w:rPr>
              <w:t>合同签订后</w:t>
            </w:r>
            <w:r>
              <w:rPr>
                <w:rFonts w:hint="eastAsia" w:ascii="宋体" w:hAnsi="宋体"/>
                <w:color w:val="auto"/>
                <w:szCs w:val="21"/>
                <w:lang w:val="en-US" w:eastAsia="zh-CN"/>
              </w:rPr>
              <w:t>15</w:t>
            </w:r>
            <w:r>
              <w:rPr>
                <w:rFonts w:hint="eastAsia" w:ascii="宋体" w:hAnsi="宋体"/>
                <w:color w:val="auto"/>
                <w:szCs w:val="21"/>
              </w:rPr>
              <w:t>天内供货完成并通过验收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8</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投标保证金</w:t>
            </w:r>
          </w:p>
        </w:tc>
        <w:tc>
          <w:tcPr>
            <w:tcW w:w="7364" w:type="dxa"/>
            <w:vAlign w:val="center"/>
          </w:tcPr>
          <w:p>
            <w:pPr>
              <w:numPr>
                <w:ilvl w:val="0"/>
                <w:numId w:val="0"/>
              </w:numPr>
              <w:spacing w:line="360" w:lineRule="auto"/>
              <w:rPr>
                <w:rFonts w:ascii="宋体" w:hAnsi="宋体"/>
                <w:color w:val="auto"/>
                <w:kern w:val="0"/>
              </w:rPr>
            </w:pPr>
            <w:r>
              <w:rPr>
                <w:rFonts w:hint="eastAsia" w:ascii="宋体" w:hAnsi="宋体"/>
                <w:color w:val="auto"/>
                <w:kern w:val="0"/>
                <w:lang w:val="en-US" w:eastAsia="zh-CN"/>
              </w:rPr>
              <w:t>1、</w:t>
            </w:r>
            <w:r>
              <w:rPr>
                <w:rFonts w:hint="eastAsia" w:ascii="宋体" w:hAnsi="宋体"/>
                <w:color w:val="auto"/>
                <w:kern w:val="0"/>
              </w:rPr>
              <w:t>招标保证金的形式：现金。</w:t>
            </w:r>
          </w:p>
          <w:p>
            <w:pPr>
              <w:numPr>
                <w:ilvl w:val="0"/>
                <w:numId w:val="0"/>
              </w:numPr>
              <w:spacing w:line="360" w:lineRule="auto"/>
              <w:rPr>
                <w:rFonts w:ascii="宋体" w:hAnsi="宋体"/>
                <w:b/>
                <w:color w:val="auto"/>
                <w:kern w:val="0"/>
              </w:rPr>
            </w:pPr>
            <w:r>
              <w:rPr>
                <w:rFonts w:hint="eastAsia" w:ascii="宋体" w:hAnsi="宋体"/>
                <w:color w:val="auto"/>
                <w:kern w:val="0"/>
                <w:lang w:val="en-US" w:eastAsia="zh-CN"/>
              </w:rPr>
              <w:t>2、</w:t>
            </w:r>
            <w:r>
              <w:rPr>
                <w:rFonts w:hint="eastAsia" w:ascii="宋体" w:hAnsi="宋体"/>
                <w:color w:val="auto"/>
                <w:kern w:val="0"/>
              </w:rPr>
              <w:t>招标保证金金额：</w:t>
            </w:r>
            <w:r>
              <w:rPr>
                <w:rFonts w:hint="eastAsia" w:ascii="宋体" w:hAnsi="宋体"/>
                <w:b/>
                <w:color w:val="auto"/>
                <w:kern w:val="0"/>
              </w:rPr>
              <w:t>人民币</w:t>
            </w:r>
            <w:r>
              <w:rPr>
                <w:rFonts w:hint="eastAsia" w:ascii="宋体" w:hAnsi="宋体"/>
                <w:b/>
                <w:color w:val="auto"/>
                <w:kern w:val="0"/>
                <w:lang w:val="en-US" w:eastAsia="zh-CN"/>
              </w:rPr>
              <w:t>贰万元</w:t>
            </w:r>
            <w:r>
              <w:rPr>
                <w:rFonts w:hint="eastAsia" w:ascii="宋体" w:hAnsi="宋体"/>
                <w:b/>
                <w:color w:val="auto"/>
                <w:kern w:val="0"/>
              </w:rPr>
              <w:t>整（¥</w:t>
            </w:r>
            <w:r>
              <w:rPr>
                <w:rFonts w:hint="eastAsia" w:ascii="宋体" w:hAnsi="宋体"/>
                <w:b/>
                <w:color w:val="auto"/>
                <w:kern w:val="0"/>
                <w:lang w:val="en-US" w:eastAsia="zh-CN"/>
              </w:rPr>
              <w:t>20</w:t>
            </w:r>
            <w:r>
              <w:rPr>
                <w:rFonts w:hint="eastAsia" w:ascii="宋体" w:hAnsi="宋体"/>
                <w:b/>
                <w:color w:val="auto"/>
                <w:kern w:val="0"/>
              </w:rPr>
              <w:t>000元）。</w:t>
            </w:r>
          </w:p>
          <w:p>
            <w:pPr>
              <w:numPr>
                <w:ilvl w:val="0"/>
                <w:numId w:val="0"/>
              </w:numPr>
              <w:spacing w:line="360" w:lineRule="auto"/>
              <w:rPr>
                <w:rFonts w:ascii="宋体" w:hAnsi="宋体"/>
                <w:color w:val="auto"/>
                <w:kern w:val="0"/>
              </w:rPr>
            </w:pPr>
            <w:r>
              <w:rPr>
                <w:rFonts w:hint="eastAsia" w:ascii="宋体" w:hAnsi="宋体"/>
                <w:color w:val="auto"/>
                <w:kern w:val="0"/>
                <w:lang w:val="en-US" w:eastAsia="zh-CN"/>
              </w:rPr>
              <w:t>3、</w:t>
            </w:r>
            <w:r>
              <w:rPr>
                <w:rFonts w:hint="eastAsia" w:ascii="宋体" w:hAnsi="宋体"/>
                <w:color w:val="auto"/>
                <w:kern w:val="0"/>
              </w:rPr>
              <w:t>投标保证金递交方式及时间：投标人以现金形式在递交标书同时向招标人提供，将保证金装入档案袋密封并标出公司名称。</w:t>
            </w:r>
          </w:p>
          <w:p>
            <w:pPr>
              <w:numPr>
                <w:ilvl w:val="0"/>
                <w:numId w:val="0"/>
              </w:numPr>
              <w:spacing w:line="360" w:lineRule="auto"/>
              <w:rPr>
                <w:rFonts w:ascii="宋体" w:hAnsi="宋体" w:cs="宋体"/>
                <w:color w:val="auto"/>
                <w:kern w:val="0"/>
                <w:szCs w:val="21"/>
              </w:rPr>
            </w:pPr>
            <w:r>
              <w:rPr>
                <w:rFonts w:hint="eastAsia" w:ascii="宋体" w:hAnsi="宋体"/>
                <w:color w:val="auto"/>
                <w:kern w:val="0"/>
                <w:lang w:val="en-US" w:eastAsia="zh-CN"/>
              </w:rPr>
              <w:t>4、</w:t>
            </w:r>
            <w:r>
              <w:rPr>
                <w:rFonts w:hint="eastAsia" w:ascii="宋体" w:hAnsi="宋体"/>
                <w:color w:val="auto"/>
                <w:kern w:val="0"/>
              </w:rPr>
              <w:t>投标保证金的有效期：同投标有效期。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9</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履约担保</w:t>
            </w:r>
          </w:p>
        </w:tc>
        <w:tc>
          <w:tcPr>
            <w:tcW w:w="7364" w:type="dxa"/>
            <w:vAlign w:val="center"/>
          </w:tcPr>
          <w:p>
            <w:pPr>
              <w:spacing w:line="360" w:lineRule="exact"/>
              <w:rPr>
                <w:rFonts w:ascii="宋体" w:hAnsi="宋体" w:cs="宋体"/>
                <w:color w:val="auto"/>
                <w:szCs w:val="21"/>
              </w:rPr>
            </w:pPr>
            <w:r>
              <w:rPr>
                <w:rFonts w:hint="eastAsia" w:ascii="宋体" w:hAnsi="宋体" w:cs="宋体"/>
                <w:color w:val="auto"/>
                <w:szCs w:val="21"/>
              </w:rPr>
              <w:t>合同总价的</w:t>
            </w:r>
            <w:r>
              <w:rPr>
                <w:rFonts w:hint="eastAsia" w:ascii="宋体" w:hAnsi="宋体" w:cs="宋体"/>
                <w:color w:val="auto"/>
                <w:szCs w:val="21"/>
                <w:lang w:val="en-US" w:eastAsia="zh-CN"/>
              </w:rPr>
              <w:t>1.5</w:t>
            </w:r>
            <w:r>
              <w:rPr>
                <w:rFonts w:hint="eastAsia" w:ascii="宋体" w:hAnsi="宋体" w:cs="宋体"/>
                <w:color w:val="auto"/>
                <w:szCs w:val="21"/>
              </w:rPr>
              <w:t>%作为履约保证金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10</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投标文件份数</w:t>
            </w:r>
          </w:p>
        </w:tc>
        <w:tc>
          <w:tcPr>
            <w:tcW w:w="7364" w:type="dxa"/>
          </w:tcPr>
          <w:p>
            <w:pPr>
              <w:spacing w:line="360" w:lineRule="exact"/>
              <w:rPr>
                <w:rFonts w:ascii="宋体" w:hAnsi="宋体" w:cs="宋体"/>
                <w:color w:val="auto"/>
                <w:szCs w:val="21"/>
              </w:rPr>
            </w:pPr>
            <w:r>
              <w:rPr>
                <w:rFonts w:hint="eastAsia" w:ascii="宋体" w:hAnsi="宋体"/>
                <w:color w:val="auto"/>
                <w:szCs w:val="21"/>
              </w:rPr>
              <w:t>正本</w:t>
            </w:r>
            <w:r>
              <w:rPr>
                <w:rFonts w:hint="eastAsia" w:ascii="宋体" w:hAnsi="宋体"/>
                <w:color w:val="auto"/>
                <w:szCs w:val="21"/>
                <w:u w:val="single"/>
              </w:rPr>
              <w:t>1</w:t>
            </w:r>
            <w:r>
              <w:rPr>
                <w:rFonts w:hint="eastAsia" w:ascii="宋体" w:hAnsi="宋体"/>
                <w:color w:val="auto"/>
                <w:szCs w:val="21"/>
              </w:rPr>
              <w:t>份；副本</w:t>
            </w:r>
            <w:r>
              <w:rPr>
                <w:rFonts w:hint="eastAsia" w:ascii="宋体" w:hAnsi="宋体"/>
                <w:color w:val="auto"/>
                <w:szCs w:val="21"/>
                <w:u w:val="single"/>
              </w:rPr>
              <w:t>4</w:t>
            </w:r>
            <w:r>
              <w:rPr>
                <w:rFonts w:hint="eastAsia" w:ascii="宋体" w:hAnsi="宋体"/>
                <w:color w:val="auto"/>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11</w:t>
            </w:r>
          </w:p>
        </w:tc>
        <w:tc>
          <w:tcPr>
            <w:tcW w:w="1889" w:type="dxa"/>
            <w:vAlign w:val="center"/>
          </w:tcPr>
          <w:p>
            <w:pPr>
              <w:spacing w:line="360" w:lineRule="exact"/>
              <w:jc w:val="center"/>
              <w:rPr>
                <w:rFonts w:ascii="宋体" w:hAnsi="宋体" w:cs="宋体"/>
                <w:bCs/>
                <w:color w:val="auto"/>
                <w:szCs w:val="21"/>
              </w:rPr>
            </w:pPr>
            <w:r>
              <w:rPr>
                <w:rFonts w:hint="eastAsia" w:ascii="宋体" w:hAnsi="宋体"/>
                <w:color w:val="auto"/>
                <w:szCs w:val="21"/>
              </w:rPr>
              <w:t>投标文件的提交</w:t>
            </w:r>
          </w:p>
        </w:tc>
        <w:tc>
          <w:tcPr>
            <w:tcW w:w="7364" w:type="dxa"/>
          </w:tcPr>
          <w:p>
            <w:pPr>
              <w:spacing w:line="360" w:lineRule="exact"/>
              <w:rPr>
                <w:rFonts w:ascii="宋体" w:hAnsi="宋体" w:cs="宋体"/>
                <w:color w:val="auto"/>
                <w:szCs w:val="21"/>
              </w:rPr>
            </w:pPr>
            <w:r>
              <w:rPr>
                <w:rFonts w:hint="eastAsia" w:ascii="宋体" w:hAnsi="宋体" w:cs="宋体"/>
                <w:color w:val="auto"/>
                <w:szCs w:val="21"/>
              </w:rPr>
              <w:t>截止时间：</w:t>
            </w:r>
            <w:r>
              <w:rPr>
                <w:rFonts w:hint="eastAsia" w:ascii="宋体" w:hAnsi="宋体"/>
                <w:b/>
                <w:color w:val="auto"/>
                <w:kern w:val="0"/>
                <w:u w:val="single"/>
              </w:rPr>
              <w:t>202</w:t>
            </w:r>
            <w:r>
              <w:rPr>
                <w:rFonts w:hint="eastAsia" w:ascii="宋体" w:hAnsi="宋体"/>
                <w:b/>
                <w:color w:val="auto"/>
                <w:kern w:val="0"/>
                <w:u w:val="single"/>
                <w:lang w:val="en-US" w:eastAsia="zh-CN"/>
              </w:rPr>
              <w:t>2</w:t>
            </w:r>
            <w:r>
              <w:rPr>
                <w:rFonts w:hint="eastAsia" w:ascii="宋体" w:hAnsi="宋体"/>
                <w:b/>
                <w:color w:val="auto"/>
                <w:kern w:val="0"/>
                <w:u w:val="single"/>
              </w:rPr>
              <w:t>年</w:t>
            </w:r>
            <w:r>
              <w:rPr>
                <w:rFonts w:hint="eastAsia" w:ascii="宋体" w:hAnsi="宋体"/>
                <w:b/>
                <w:color w:val="auto"/>
                <w:kern w:val="0"/>
                <w:u w:val="single"/>
                <w:lang w:val="en-US" w:eastAsia="zh-CN"/>
              </w:rPr>
              <w:t>7</w:t>
            </w:r>
            <w:r>
              <w:rPr>
                <w:rFonts w:hint="eastAsia" w:ascii="宋体" w:hAnsi="宋体"/>
                <w:b/>
                <w:color w:val="auto"/>
                <w:kern w:val="0"/>
                <w:u w:val="single"/>
              </w:rPr>
              <w:t>月</w:t>
            </w:r>
            <w:r>
              <w:rPr>
                <w:rFonts w:hint="eastAsia" w:ascii="宋体" w:hAnsi="宋体"/>
                <w:b/>
                <w:color w:val="auto"/>
                <w:kern w:val="0"/>
                <w:u w:val="single"/>
                <w:lang w:val="en-US" w:eastAsia="zh-CN"/>
              </w:rPr>
              <w:t>7</w:t>
            </w:r>
            <w:r>
              <w:rPr>
                <w:rFonts w:hint="eastAsia" w:ascii="宋体" w:hAnsi="宋体"/>
                <w:b/>
                <w:color w:val="auto"/>
                <w:kern w:val="0"/>
                <w:u w:val="single"/>
              </w:rPr>
              <w:t>日</w:t>
            </w:r>
            <w:r>
              <w:rPr>
                <w:rFonts w:hint="eastAsia" w:ascii="宋体" w:hAnsi="宋体" w:cs="宋体"/>
                <w:b/>
                <w:bCs/>
                <w:color w:val="auto"/>
                <w:kern w:val="0"/>
                <w:szCs w:val="21"/>
                <w:u w:val="single"/>
              </w:rPr>
              <w:t>上午9:30时</w:t>
            </w:r>
          </w:p>
          <w:p>
            <w:pPr>
              <w:spacing w:line="360" w:lineRule="exact"/>
              <w:rPr>
                <w:rFonts w:ascii="宋体" w:hAnsi="宋体" w:cs="宋体"/>
                <w:color w:val="auto"/>
                <w:szCs w:val="21"/>
              </w:rPr>
            </w:pPr>
            <w:r>
              <w:rPr>
                <w:rFonts w:hint="eastAsia" w:ascii="宋体" w:hAnsi="宋体" w:cs="宋体"/>
                <w:color w:val="auto"/>
                <w:szCs w:val="21"/>
              </w:rPr>
              <w:t>提交地点：</w:t>
            </w:r>
            <w:r>
              <w:rPr>
                <w:rFonts w:hint="eastAsia" w:ascii="宋体" w:hAnsi="宋体" w:cs="宋体"/>
                <w:color w:val="auto"/>
                <w:szCs w:val="21"/>
                <w:lang w:eastAsia="zh-CN"/>
              </w:rPr>
              <w:t>三门县大通运输有限公司恒驰出租车分公司</w:t>
            </w:r>
            <w:r>
              <w:rPr>
                <w:rFonts w:hint="eastAsia" w:ascii="宋体" w:hAnsi="宋体" w:cs="宋体"/>
                <w:color w:val="auto"/>
                <w:szCs w:val="21"/>
                <w:lang w:val="en-US" w:eastAsia="zh-CN"/>
              </w:rPr>
              <w:t>三楼</w:t>
            </w:r>
            <w:r>
              <w:rPr>
                <w:rFonts w:hint="eastAsia" w:ascii="宋体" w:hAnsi="宋体" w:cs="宋体"/>
                <w:color w:val="auto"/>
                <w:szCs w:val="21"/>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12</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开标时间及地点</w:t>
            </w:r>
          </w:p>
        </w:tc>
        <w:tc>
          <w:tcPr>
            <w:tcW w:w="7364" w:type="dxa"/>
            <w:tcBorders>
              <w:bottom w:val="single" w:color="auto" w:sz="4" w:space="0"/>
            </w:tcBorders>
          </w:tcPr>
          <w:p>
            <w:pPr>
              <w:spacing w:line="360" w:lineRule="exact"/>
              <w:rPr>
                <w:rFonts w:ascii="宋体" w:hAnsi="宋体" w:cs="宋体"/>
                <w:b/>
                <w:bCs/>
                <w:color w:val="auto"/>
                <w:kern w:val="0"/>
                <w:szCs w:val="21"/>
                <w:u w:val="single"/>
              </w:rPr>
            </w:pPr>
            <w:r>
              <w:rPr>
                <w:rFonts w:hint="eastAsia" w:ascii="宋体" w:hAnsi="宋体"/>
                <w:b/>
                <w:color w:val="auto"/>
                <w:kern w:val="0"/>
                <w:u w:val="single"/>
              </w:rPr>
              <w:t>202</w:t>
            </w:r>
            <w:r>
              <w:rPr>
                <w:rFonts w:hint="eastAsia" w:ascii="宋体" w:hAnsi="宋体"/>
                <w:b/>
                <w:color w:val="auto"/>
                <w:kern w:val="0"/>
                <w:u w:val="single"/>
                <w:lang w:val="en-US" w:eastAsia="zh-CN"/>
              </w:rPr>
              <w:t>2</w:t>
            </w:r>
            <w:r>
              <w:rPr>
                <w:rFonts w:hint="eastAsia" w:ascii="宋体" w:hAnsi="宋体"/>
                <w:b/>
                <w:color w:val="auto"/>
                <w:kern w:val="0"/>
                <w:u w:val="single"/>
              </w:rPr>
              <w:t>年</w:t>
            </w:r>
            <w:r>
              <w:rPr>
                <w:rFonts w:hint="eastAsia" w:ascii="宋体" w:hAnsi="宋体"/>
                <w:b/>
                <w:color w:val="auto"/>
                <w:kern w:val="0"/>
                <w:u w:val="single"/>
                <w:lang w:val="en-US" w:eastAsia="zh-CN"/>
              </w:rPr>
              <w:t>7</w:t>
            </w:r>
            <w:r>
              <w:rPr>
                <w:rFonts w:hint="eastAsia" w:ascii="宋体" w:hAnsi="宋体"/>
                <w:b/>
                <w:color w:val="auto"/>
                <w:kern w:val="0"/>
                <w:u w:val="single"/>
              </w:rPr>
              <w:t>月</w:t>
            </w:r>
            <w:r>
              <w:rPr>
                <w:rFonts w:hint="eastAsia" w:ascii="宋体" w:hAnsi="宋体"/>
                <w:b/>
                <w:color w:val="auto"/>
                <w:kern w:val="0"/>
                <w:u w:val="single"/>
                <w:lang w:val="en-US" w:eastAsia="zh-CN"/>
              </w:rPr>
              <w:t xml:space="preserve"> 7</w:t>
            </w:r>
            <w:r>
              <w:rPr>
                <w:rFonts w:hint="eastAsia" w:ascii="宋体" w:hAnsi="宋体"/>
                <w:b/>
                <w:color w:val="auto"/>
                <w:kern w:val="0"/>
                <w:u w:val="single"/>
              </w:rPr>
              <w:t>日</w:t>
            </w:r>
            <w:r>
              <w:rPr>
                <w:rFonts w:hint="eastAsia" w:ascii="宋体" w:hAnsi="宋体" w:cs="宋体"/>
                <w:b/>
                <w:bCs/>
                <w:color w:val="auto"/>
                <w:kern w:val="0"/>
                <w:szCs w:val="21"/>
                <w:u w:val="single"/>
              </w:rPr>
              <w:t>上午9:30时</w:t>
            </w:r>
          </w:p>
          <w:p>
            <w:pPr>
              <w:spacing w:line="360" w:lineRule="exact"/>
              <w:rPr>
                <w:rFonts w:ascii="宋体" w:hAnsi="宋体" w:cs="宋体"/>
                <w:color w:val="auto"/>
                <w:szCs w:val="21"/>
              </w:rPr>
            </w:pPr>
            <w:r>
              <w:rPr>
                <w:rFonts w:hint="eastAsia" w:ascii="宋体" w:hAnsi="宋体"/>
                <w:color w:val="auto"/>
                <w:szCs w:val="21"/>
              </w:rPr>
              <w:t>地点:</w:t>
            </w:r>
            <w:r>
              <w:rPr>
                <w:rFonts w:hint="eastAsia" w:ascii="宋体" w:hAnsi="宋体" w:cs="宋体"/>
                <w:color w:val="auto"/>
                <w:szCs w:val="21"/>
              </w:rPr>
              <w:t xml:space="preserve"> </w:t>
            </w:r>
            <w:r>
              <w:rPr>
                <w:rFonts w:hint="eastAsia" w:ascii="宋体" w:hAnsi="宋体" w:cs="宋体"/>
                <w:color w:val="auto"/>
                <w:szCs w:val="21"/>
                <w:lang w:eastAsia="zh-CN"/>
              </w:rPr>
              <w:t>三门县大通运输有限公司恒驰出租车分公司</w:t>
            </w:r>
            <w:r>
              <w:rPr>
                <w:rFonts w:hint="eastAsia" w:ascii="宋体" w:hAnsi="宋体" w:cs="宋体"/>
                <w:color w:val="auto"/>
                <w:szCs w:val="21"/>
                <w:lang w:val="en-US" w:eastAsia="zh-CN"/>
              </w:rPr>
              <w:t>三楼</w:t>
            </w:r>
            <w:r>
              <w:rPr>
                <w:rFonts w:hint="eastAsia" w:ascii="宋体" w:hAnsi="宋体" w:cs="宋体"/>
                <w:color w:val="auto"/>
                <w:szCs w:val="21"/>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13</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投标文件密封及装订</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技术资信文件</w:t>
            </w:r>
            <w:r>
              <w:rPr>
                <w:rFonts w:ascii="宋体" w:hAnsi="宋体"/>
                <w:color w:val="auto"/>
                <w:szCs w:val="21"/>
              </w:rPr>
              <w:t>和</w:t>
            </w:r>
            <w:r>
              <w:rPr>
                <w:rFonts w:hint="eastAsia" w:ascii="宋体" w:hAnsi="宋体"/>
                <w:color w:val="auto"/>
                <w:szCs w:val="21"/>
              </w:rPr>
              <w:t>报价文件分开装订成册，单独密封。</w:t>
            </w:r>
            <w:r>
              <w:rPr>
                <w:rFonts w:hint="eastAsia"/>
                <w:color w:val="auto"/>
              </w:rPr>
              <w:t>投标文件应采用固定装订，不得采用活页装订</w:t>
            </w:r>
            <w:r>
              <w:rPr>
                <w:rFonts w:hint="eastAsia"/>
                <w:b/>
                <w:color w:val="auto"/>
              </w:rPr>
              <w:t>（活页装订是指用卡条、抽杆夹、订书机等形式装订，使标书可以拆卸或者在翻动过程中易脱落的一种装订方式）。采用活页装订的投标文件按无效标处理。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14</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开标顺序</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bCs/>
                <w:color w:val="auto"/>
              </w:rPr>
              <w:t>先开技术资信文件，待技术资信文件评定结果公布后，再开报价文件。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15</w:t>
            </w:r>
          </w:p>
        </w:tc>
        <w:tc>
          <w:tcPr>
            <w:tcW w:w="1889" w:type="dxa"/>
            <w:tcBorders>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评标结果公示</w:t>
            </w:r>
          </w:p>
        </w:tc>
        <w:tc>
          <w:tcPr>
            <w:tcW w:w="7364" w:type="dxa"/>
            <w:tcBorders>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评标结束后，评标结果公示于三门公共资源交易中心网（http：//www.smztb.com）。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jc w:val="center"/>
        </w:trPr>
        <w:tc>
          <w:tcPr>
            <w:tcW w:w="738" w:type="dxa"/>
            <w:tcBorders>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16</w:t>
            </w:r>
          </w:p>
        </w:tc>
        <w:tc>
          <w:tcPr>
            <w:tcW w:w="1889" w:type="dxa"/>
            <w:tcBorders>
              <w:bottom w:val="single" w:color="auto" w:sz="4" w:space="0"/>
            </w:tcBorders>
            <w:vAlign w:val="center"/>
          </w:tcPr>
          <w:p>
            <w:pPr>
              <w:spacing w:line="360" w:lineRule="exact"/>
              <w:jc w:val="center"/>
              <w:rPr>
                <w:rFonts w:ascii="宋体" w:hAnsi="宋体" w:cs="宋体"/>
                <w:bCs/>
                <w:color w:val="auto"/>
                <w:szCs w:val="21"/>
                <w:lang w:val="zh-CN"/>
              </w:rPr>
            </w:pPr>
            <w:r>
              <w:rPr>
                <w:rFonts w:hint="eastAsia" w:ascii="宋体" w:hAnsi="宋体" w:cs="宋体"/>
                <w:bCs/>
                <w:color w:val="auto"/>
                <w:szCs w:val="21"/>
              </w:rPr>
              <w:t>答疑与澄清</w:t>
            </w:r>
          </w:p>
        </w:tc>
        <w:tc>
          <w:tcPr>
            <w:tcW w:w="7364" w:type="dxa"/>
            <w:tcBorders>
              <w:bottom w:val="single" w:color="auto" w:sz="4" w:space="0"/>
            </w:tcBorders>
            <w:vAlign w:val="center"/>
          </w:tcPr>
          <w:p>
            <w:pPr>
              <w:autoSpaceDE w:val="0"/>
              <w:autoSpaceDN w:val="0"/>
              <w:adjustRightInd w:val="0"/>
              <w:spacing w:line="360" w:lineRule="exact"/>
              <w:rPr>
                <w:rFonts w:ascii="宋体" w:hAnsi="宋体" w:cs="宋体"/>
                <w:b/>
                <w:color w:val="auto"/>
                <w:kern w:val="0"/>
                <w:szCs w:val="21"/>
                <w:lang w:val="zh-CN"/>
              </w:rPr>
            </w:pPr>
            <w:r>
              <w:rPr>
                <w:rFonts w:hint="eastAsia" w:ascii="宋体" w:hAnsi="宋体" w:cs="宋体"/>
                <w:color w:val="auto"/>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17</w:t>
            </w:r>
          </w:p>
        </w:tc>
        <w:tc>
          <w:tcPr>
            <w:tcW w:w="1889" w:type="dxa"/>
            <w:tcBorders>
              <w:top w:val="single" w:color="auto" w:sz="4" w:space="0"/>
              <w:bottom w:val="single" w:color="auto" w:sz="4" w:space="0"/>
            </w:tcBorders>
            <w:vAlign w:val="center"/>
          </w:tcPr>
          <w:p>
            <w:pPr>
              <w:spacing w:line="360" w:lineRule="exact"/>
              <w:jc w:val="center"/>
              <w:rPr>
                <w:rFonts w:ascii="宋体" w:hAnsi="宋体" w:cs="宋体"/>
                <w:bCs/>
                <w:color w:val="auto"/>
                <w:szCs w:val="21"/>
              </w:rPr>
            </w:pPr>
            <w:r>
              <w:rPr>
                <w:rFonts w:hint="eastAsia" w:ascii="宋体" w:hAnsi="宋体"/>
                <w:color w:val="auto"/>
                <w:szCs w:val="21"/>
              </w:rPr>
              <w:t>报价内容及方式</w:t>
            </w:r>
          </w:p>
        </w:tc>
        <w:tc>
          <w:tcPr>
            <w:tcW w:w="7364" w:type="dxa"/>
            <w:tcBorders>
              <w:top w:val="single" w:color="auto" w:sz="4" w:space="0"/>
              <w:bottom w:val="single" w:color="auto" w:sz="4" w:space="0"/>
            </w:tcBorders>
            <w:vAlign w:val="center"/>
          </w:tcPr>
          <w:p>
            <w:pPr>
              <w:adjustRightInd w:val="0"/>
              <w:snapToGrid w:val="0"/>
              <w:spacing w:line="360" w:lineRule="exact"/>
              <w:rPr>
                <w:rFonts w:ascii="宋体" w:hAnsi="宋体" w:cs="宋体"/>
                <w:bCs/>
                <w:color w:val="auto"/>
                <w:szCs w:val="21"/>
              </w:rPr>
            </w:pPr>
            <w:r>
              <w:rPr>
                <w:rFonts w:hint="eastAsia" w:ascii="宋体" w:hAnsi="宋体"/>
                <w:color w:val="auto"/>
                <w:szCs w:val="21"/>
              </w:rPr>
              <w:t>综合单价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18</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评标方法</w:t>
            </w:r>
          </w:p>
        </w:tc>
        <w:tc>
          <w:tcPr>
            <w:tcW w:w="7364" w:type="dxa"/>
            <w:vAlign w:val="center"/>
          </w:tcPr>
          <w:p>
            <w:pPr>
              <w:spacing w:line="360" w:lineRule="exact"/>
              <w:jc w:val="left"/>
              <w:rPr>
                <w:rFonts w:ascii="宋体" w:hAnsi="宋体" w:cs="宋体"/>
                <w:color w:val="auto"/>
                <w:szCs w:val="21"/>
              </w:rPr>
            </w:pPr>
            <w:r>
              <w:rPr>
                <w:rFonts w:hint="eastAsia" w:ascii="宋体" w:hAnsi="宋体" w:cs="宋体"/>
                <w:bCs/>
                <w:color w:val="auto"/>
                <w:kern w:val="0"/>
                <w:szCs w:val="21"/>
              </w:rPr>
              <w:t>综合评估法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38" w:type="dxa"/>
            <w:vAlign w:val="center"/>
          </w:tcPr>
          <w:p>
            <w:pPr>
              <w:spacing w:line="320" w:lineRule="exact"/>
              <w:jc w:val="center"/>
              <w:rPr>
                <w:rFonts w:ascii="宋体" w:hAnsi="宋体" w:cs="宋体"/>
                <w:color w:val="auto"/>
                <w:sz w:val="24"/>
              </w:rPr>
            </w:pPr>
            <w:r>
              <w:rPr>
                <w:rFonts w:hint="eastAsia" w:ascii="宋体" w:hAnsi="宋体" w:cs="宋体"/>
                <w:color w:val="auto"/>
                <w:sz w:val="24"/>
              </w:rPr>
              <w:t>19</w:t>
            </w:r>
          </w:p>
        </w:tc>
        <w:tc>
          <w:tcPr>
            <w:tcW w:w="1889" w:type="dxa"/>
            <w:vAlign w:val="center"/>
          </w:tcPr>
          <w:p>
            <w:pPr>
              <w:spacing w:line="360" w:lineRule="exact"/>
              <w:jc w:val="center"/>
              <w:rPr>
                <w:rFonts w:ascii="宋体" w:hAnsi="宋体" w:cs="宋体"/>
                <w:bCs/>
                <w:color w:val="auto"/>
                <w:szCs w:val="21"/>
              </w:rPr>
            </w:pPr>
            <w:r>
              <w:rPr>
                <w:rFonts w:hint="eastAsia" w:ascii="宋体" w:hAnsi="宋体" w:cs="宋体"/>
                <w:bCs/>
                <w:color w:val="auto"/>
                <w:szCs w:val="21"/>
              </w:rPr>
              <w:t>投标文件有效期</w:t>
            </w:r>
          </w:p>
        </w:tc>
        <w:tc>
          <w:tcPr>
            <w:tcW w:w="7364" w:type="dxa"/>
            <w:vAlign w:val="center"/>
          </w:tcPr>
          <w:p>
            <w:pPr>
              <w:pStyle w:val="26"/>
              <w:snapToGrid w:val="0"/>
              <w:rPr>
                <w:rFonts w:hint="default" w:cs="宋体"/>
                <w:bCs/>
                <w:color w:val="auto"/>
                <w:sz w:val="21"/>
                <w:szCs w:val="21"/>
              </w:rPr>
            </w:pPr>
            <w:r>
              <w:rPr>
                <w:rFonts w:cs="宋体"/>
                <w:color w:val="auto"/>
                <w:sz w:val="21"/>
                <w:szCs w:val="21"/>
              </w:rPr>
              <w:t>自投标文件提交截止之日起90日内有效。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20</w:t>
            </w:r>
          </w:p>
        </w:tc>
        <w:tc>
          <w:tcPr>
            <w:tcW w:w="1889" w:type="dxa"/>
            <w:tcBorders>
              <w:top w:val="single" w:color="auto" w:sz="4" w:space="0"/>
              <w:bottom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解释权</w:t>
            </w:r>
          </w:p>
        </w:tc>
        <w:tc>
          <w:tcPr>
            <w:tcW w:w="7364" w:type="dxa"/>
            <w:tcBorders>
              <w:top w:val="single" w:color="auto" w:sz="4" w:space="0"/>
              <w:bottom w:val="single" w:color="auto" w:sz="4" w:space="0"/>
            </w:tcBorders>
            <w:vAlign w:val="center"/>
          </w:tcPr>
          <w:p>
            <w:pPr>
              <w:spacing w:line="360" w:lineRule="exact"/>
              <w:jc w:val="left"/>
              <w:rPr>
                <w:rFonts w:ascii="宋体" w:hAnsi="宋体"/>
                <w:color w:val="auto"/>
                <w:szCs w:val="21"/>
              </w:rPr>
            </w:pPr>
            <w:r>
              <w:rPr>
                <w:rFonts w:hint="eastAsia" w:ascii="宋体" w:hAnsi="宋体"/>
                <w:color w:val="auto"/>
                <w:szCs w:val="21"/>
              </w:rPr>
              <w:t>本招标文件解释权属于招标采购单位（采购人和采购代理机构）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38" w:type="dxa"/>
            <w:tcBorders>
              <w:top w:val="single" w:color="auto" w:sz="4" w:space="0"/>
              <w:bottom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21</w:t>
            </w:r>
          </w:p>
        </w:tc>
        <w:tc>
          <w:tcPr>
            <w:tcW w:w="1889" w:type="dxa"/>
            <w:tcBorders>
              <w:top w:val="single" w:color="auto" w:sz="4" w:space="0"/>
              <w:bottom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其他</w:t>
            </w:r>
          </w:p>
        </w:tc>
        <w:tc>
          <w:tcPr>
            <w:tcW w:w="7364" w:type="dxa"/>
            <w:tcBorders>
              <w:top w:val="single" w:color="auto" w:sz="4" w:space="0"/>
              <w:bottom w:val="single" w:color="auto" w:sz="4" w:space="0"/>
            </w:tcBorders>
            <w:vAlign w:val="center"/>
          </w:tcPr>
          <w:p>
            <w:pPr>
              <w:numPr>
                <w:ilvl w:val="0"/>
                <w:numId w:val="9"/>
              </w:numPr>
              <w:spacing w:line="360" w:lineRule="exact"/>
              <w:ind w:firstLine="0"/>
              <w:jc w:val="left"/>
              <w:rPr>
                <w:rFonts w:eastAsia="黑体"/>
                <w:color w:val="auto"/>
              </w:rPr>
            </w:pPr>
            <w:r>
              <w:rPr>
                <w:rFonts w:hint="eastAsia"/>
                <w:color w:val="auto"/>
                <w:szCs w:val="22"/>
              </w:rPr>
              <w:t>符合报名条件的三家（含三家）以上方可开标。</w:t>
            </w:r>
          </w:p>
        </w:tc>
      </w:tr>
    </w:tbl>
    <w:p>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pPr>
        <w:autoSpaceDE w:val="0"/>
        <w:autoSpaceDN w:val="0"/>
        <w:adjustRightInd w:val="0"/>
        <w:spacing w:line="360" w:lineRule="auto"/>
        <w:jc w:val="center"/>
        <w:outlineLvl w:val="1"/>
        <w:rPr>
          <w:rFonts w:ascii="宋体" w:hAnsi="宋体" w:cs="宋体"/>
          <w:b/>
          <w:bCs/>
          <w:color w:val="auto"/>
          <w:szCs w:val="21"/>
          <w:lang w:val="zh-CN"/>
        </w:rPr>
      </w:pPr>
      <w:bookmarkStart w:id="3" w:name="_Toc302983095"/>
      <w:bookmarkStart w:id="4" w:name="_Toc306901446"/>
      <w:bookmarkStart w:id="5" w:name="_Toc10692"/>
      <w:r>
        <w:rPr>
          <w:rFonts w:hint="eastAsia" w:ascii="宋体" w:hAnsi="宋体" w:cs="宋体"/>
          <w:b/>
          <w:color w:val="auto"/>
          <w:szCs w:val="21"/>
          <w:lang w:val="zh-CN"/>
        </w:rPr>
        <w:t>一、</w:t>
      </w:r>
      <w:bookmarkEnd w:id="3"/>
      <w:bookmarkEnd w:id="4"/>
      <w:r>
        <w:rPr>
          <w:rFonts w:hint="eastAsia" w:ascii="宋体" w:hAnsi="宋体" w:cs="宋体"/>
          <w:b/>
          <w:color w:val="auto"/>
          <w:szCs w:val="21"/>
          <w:lang w:val="zh-CN"/>
        </w:rPr>
        <w:t>总则</w:t>
      </w:r>
      <w:bookmarkEnd w:id="5"/>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（一）适用范围</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本招标文件适用于</w:t>
      </w:r>
      <w:r>
        <w:rPr>
          <w:rFonts w:hint="eastAsia" w:ascii="宋体" w:hAnsi="宋体" w:cs="宋体"/>
          <w:bCs/>
          <w:color w:val="auto"/>
          <w:szCs w:val="21"/>
        </w:rPr>
        <w:t>本次</w:t>
      </w:r>
      <w:r>
        <w:rPr>
          <w:rFonts w:hint="eastAsia" w:ascii="宋体" w:hAnsi="宋体" w:cs="宋体"/>
          <w:color w:val="auto"/>
          <w:szCs w:val="21"/>
        </w:rPr>
        <w:t>项目的招标、投标、评标、定标、验收、合同履约、付款等行为（法律、法规另有规定的，从其规定）。</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（二）定义</w:t>
      </w:r>
    </w:p>
    <w:p>
      <w:pPr>
        <w:numPr>
          <w:ilvl w:val="0"/>
          <w:numId w:val="10"/>
        </w:num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招标采购单位系指组织本次招标的代理机构（“招标人”）和采购单位。</w:t>
      </w:r>
    </w:p>
    <w:p>
      <w:pPr>
        <w:numPr>
          <w:ilvl w:val="0"/>
          <w:numId w:val="10"/>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“投标人”系指向采购代理机构提交投标文件的单位或个人。</w:t>
      </w:r>
    </w:p>
    <w:p>
      <w:pPr>
        <w:numPr>
          <w:ilvl w:val="0"/>
          <w:numId w:val="10"/>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“项目”系指投标人按招标文件规定向采购人提供的产品和服务。</w:t>
      </w:r>
    </w:p>
    <w:p>
      <w:pPr>
        <w:numPr>
          <w:ilvl w:val="0"/>
          <w:numId w:val="10"/>
        </w:num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“书面形式”包括信函、传真等。</w:t>
      </w:r>
    </w:p>
    <w:p>
      <w:pPr>
        <w:numPr>
          <w:ilvl w:val="0"/>
          <w:numId w:val="10"/>
        </w:num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“▲”系指实质性要求条款。</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（三）招标方式</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本次招标采用</w:t>
      </w:r>
      <w:r>
        <w:rPr>
          <w:rFonts w:hint="eastAsia" w:ascii="宋体" w:hAnsi="宋体" w:cs="宋体"/>
          <w:color w:val="auto"/>
          <w:szCs w:val="21"/>
          <w:lang w:val="en-US" w:eastAsia="zh-CN"/>
        </w:rPr>
        <w:t>公开</w:t>
      </w:r>
      <w:r>
        <w:rPr>
          <w:rFonts w:hint="eastAsia" w:ascii="宋体" w:hAnsi="宋体" w:cs="宋体"/>
          <w:color w:val="auto"/>
          <w:szCs w:val="21"/>
          <w:lang w:val="zh-CN"/>
        </w:rPr>
        <w:t>招标方式进行。</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（四）投标费用</w:t>
      </w:r>
    </w:p>
    <w:p>
      <w:pPr>
        <w:autoSpaceDE w:val="0"/>
        <w:autoSpaceDN w:val="0"/>
        <w:adjustRightInd w:val="0"/>
        <w:spacing w:line="360" w:lineRule="auto"/>
        <w:ind w:firstLine="48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不论投标结果如何，投标人均应自行承担所有与投标有关的全部费用（招标文件有相反规定除外）。</w:t>
      </w:r>
    </w:p>
    <w:p>
      <w:pPr>
        <w:pStyle w:val="14"/>
        <w:snapToGrid w:val="0"/>
        <w:spacing w:line="360" w:lineRule="auto"/>
        <w:ind w:left="2" w:leftChars="1"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b/>
          <w:bCs/>
          <w:color w:val="auto"/>
          <w:kern w:val="2"/>
          <w:sz w:val="21"/>
          <w:szCs w:val="21"/>
          <w:lang w:val="en-US" w:eastAsia="zh-CN" w:bidi="ar-SA"/>
        </w:rPr>
        <w:t>本次招标代理费由中标人支付，在领中标通知书前一次性付清。招标代理服务费不在投标报价中单列。</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（五）联合体投标</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本项目不接受联合体投标。</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（六）转包与分包</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w:t>
      </w:r>
      <w:r>
        <w:rPr>
          <w:rFonts w:hint="eastAsia" w:ascii="宋体" w:hAnsi="宋体" w:cs="宋体"/>
          <w:color w:val="auto"/>
          <w:szCs w:val="21"/>
          <w:lang w:val="zh-CN"/>
        </w:rPr>
        <w:t>本项目不允许转包。</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s="宋体"/>
          <w:color w:val="auto"/>
          <w:szCs w:val="21"/>
        </w:rPr>
        <w:t>.</w:t>
      </w:r>
      <w:r>
        <w:rPr>
          <w:rFonts w:hint="eastAsia" w:ascii="宋体" w:hAnsi="宋体" w:cs="宋体"/>
          <w:color w:val="auto"/>
          <w:szCs w:val="21"/>
          <w:lang w:val="zh-CN"/>
        </w:rPr>
        <w:t>本项目不可以分包。</w:t>
      </w:r>
    </w:p>
    <w:p>
      <w:pPr>
        <w:autoSpaceDE w:val="0"/>
        <w:autoSpaceDN w:val="0"/>
        <w:adjustRightInd w:val="0"/>
        <w:spacing w:line="360" w:lineRule="auto"/>
        <w:ind w:firstLine="480"/>
        <w:rPr>
          <w:rFonts w:ascii="宋体" w:hAnsi="宋体" w:cs="宋体"/>
          <w:b/>
          <w:color w:val="auto"/>
          <w:szCs w:val="21"/>
          <w:lang w:val="zh-CN"/>
        </w:rPr>
      </w:pPr>
      <w:r>
        <w:rPr>
          <w:rFonts w:hint="eastAsia" w:ascii="宋体" w:hAnsi="宋体" w:cs="宋体"/>
          <w:b/>
          <w:color w:val="auto"/>
          <w:szCs w:val="21"/>
          <w:lang w:val="zh-CN"/>
        </w:rPr>
        <w:t>（七）特别说明</w:t>
      </w:r>
    </w:p>
    <w:p>
      <w:pPr>
        <w:pStyle w:val="14"/>
        <w:snapToGrid w:val="0"/>
        <w:spacing w:line="360" w:lineRule="auto"/>
        <w:ind w:firstLine="420" w:firstLineChars="200"/>
        <w:rPr>
          <w:rFonts w:hAnsi="宋体" w:cs="宋体"/>
          <w:color w:val="auto"/>
          <w:szCs w:val="21"/>
        </w:rPr>
      </w:pPr>
      <w:bookmarkStart w:id="6" w:name="_Toc306901451"/>
      <w:bookmarkStart w:id="7" w:name="_Toc302983099"/>
      <w:r>
        <w:rPr>
          <w:rFonts w:hint="eastAsia" w:hAnsi="宋体" w:cs="宋体"/>
          <w:color w:val="auto"/>
          <w:szCs w:val="21"/>
          <w:lang w:val="zh-CN"/>
        </w:rPr>
        <w:t>1.</w:t>
      </w:r>
      <w:r>
        <w:rPr>
          <w:rFonts w:hint="eastAsia" w:hAnsi="宋体" w:cs="宋体"/>
          <w:color w:val="auto"/>
          <w:szCs w:val="21"/>
        </w:rPr>
        <w:t>投标人投标所使用的资格、信誉、荣誉、业绩与企业认证必须为本法人所拥有。投标人投标所使用的采购项目实施人员必须为本法人员工（或必须为本法人或控股公司正式员工）。</w:t>
      </w:r>
    </w:p>
    <w:p>
      <w:pPr>
        <w:pStyle w:val="14"/>
        <w:snapToGrid w:val="0"/>
        <w:spacing w:line="360" w:lineRule="auto"/>
        <w:ind w:firstLine="420" w:firstLineChars="200"/>
        <w:rPr>
          <w:rFonts w:hAnsi="宋体" w:cs="宋体"/>
          <w:color w:val="auto"/>
          <w:szCs w:val="21"/>
        </w:rPr>
      </w:pPr>
      <w:r>
        <w:rPr>
          <w:rFonts w:hint="eastAsia" w:hAnsi="宋体" w:cs="宋体"/>
          <w:color w:val="auto"/>
          <w:szCs w:val="21"/>
        </w:rPr>
        <w:t>2.投标人应仔细阅读招标文件的所有内容，按照招标文件的要求提交投标文件，并对所提供的全部资料的真实性承担法律责任。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auto"/>
          <w:szCs w:val="21"/>
        </w:rPr>
      </w:pPr>
      <w:r>
        <w:rPr>
          <w:rFonts w:hint="eastAsia" w:ascii="宋体" w:hAnsi="宋体" w:cs="宋体"/>
          <w:color w:val="auto"/>
          <w:szCs w:val="21"/>
        </w:rPr>
        <w:t>3.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b/>
          <w:color w:val="auto"/>
          <w:szCs w:val="21"/>
          <w:lang w:val="zh-CN"/>
        </w:rPr>
      </w:pPr>
      <w:r>
        <w:rPr>
          <w:rFonts w:hint="eastAsia" w:ascii="宋体" w:hAnsi="宋体" w:cs="宋体"/>
          <w:b/>
          <w:color w:val="auto"/>
          <w:szCs w:val="21"/>
          <w:lang w:val="zh-CN"/>
        </w:rPr>
        <w:t>（八）质疑与投诉</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1</w:t>
      </w:r>
      <w:r>
        <w:rPr>
          <w:rFonts w:hint="eastAsia" w:hAnsi="宋体" w:cs="宋体"/>
          <w:color w:val="auto"/>
          <w:szCs w:val="21"/>
        </w:rPr>
        <w:t>.</w:t>
      </w:r>
      <w:r>
        <w:rPr>
          <w:rFonts w:hint="eastAsia" w:hAnsi="宋体" w:cs="宋体"/>
          <w:color w:val="auto"/>
          <w:szCs w:val="21"/>
          <w:lang w:val="zh-CN"/>
        </w:rPr>
        <w:t>投标人认为采购文件、采购过程和中标结果使自己的权益受到损害的，可以在知道或者应知其权益受到损害之日起七个工作日内，以书面形式向采购代理机构提出质疑。</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2</w:t>
      </w:r>
      <w:r>
        <w:rPr>
          <w:rFonts w:hint="eastAsia" w:hAnsi="宋体" w:cs="宋体"/>
          <w:color w:val="auto"/>
          <w:szCs w:val="21"/>
        </w:rPr>
        <w:t>.</w:t>
      </w:r>
      <w:r>
        <w:rPr>
          <w:rFonts w:hint="eastAsia" w:hAnsi="宋体" w:cs="宋体"/>
          <w:color w:val="auto"/>
          <w:szCs w:val="21"/>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pStyle w:val="14"/>
        <w:spacing w:line="360" w:lineRule="auto"/>
        <w:ind w:firstLine="420" w:firstLineChars="200"/>
        <w:rPr>
          <w:rFonts w:hAnsi="宋体" w:cs="宋体"/>
          <w:color w:val="auto"/>
          <w:szCs w:val="21"/>
          <w:lang w:val="zh-CN"/>
        </w:rPr>
      </w:pPr>
      <w:r>
        <w:rPr>
          <w:rFonts w:hint="eastAsia" w:hAnsi="宋体" w:cs="宋体"/>
          <w:color w:val="auto"/>
          <w:szCs w:val="21"/>
          <w:lang w:val="zh-CN"/>
        </w:rPr>
        <w:t>3</w:t>
      </w:r>
      <w:r>
        <w:rPr>
          <w:rFonts w:hint="eastAsia" w:hAnsi="宋体" w:cs="宋体"/>
          <w:color w:val="auto"/>
          <w:szCs w:val="21"/>
        </w:rPr>
        <w:t>.</w:t>
      </w:r>
      <w:r>
        <w:rPr>
          <w:rFonts w:hint="eastAsia" w:hAnsi="宋体" w:cs="宋体"/>
          <w:color w:val="auto"/>
          <w:szCs w:val="21"/>
          <w:lang w:val="zh-CN"/>
        </w:rPr>
        <w:t>采购代理机构在收到质疑供应商的书面质疑后</w:t>
      </w:r>
      <w:r>
        <w:rPr>
          <w:rFonts w:hint="eastAsia" w:hAnsi="宋体" w:cs="宋体"/>
          <w:color w:val="auto"/>
          <w:szCs w:val="21"/>
        </w:rPr>
        <w:t>3</w:t>
      </w:r>
      <w:r>
        <w:rPr>
          <w:rFonts w:hint="eastAsia" w:hAnsi="宋体" w:cs="宋体"/>
          <w:color w:val="auto"/>
          <w:szCs w:val="21"/>
          <w:lang w:val="zh-CN"/>
        </w:rPr>
        <w:t>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rFonts w:ascii="宋体" w:hAnsi="宋体" w:cs="宋体"/>
          <w:color w:val="auto"/>
          <w:szCs w:val="21"/>
          <w:lang w:val="zh-CN"/>
        </w:rPr>
      </w:pPr>
      <w:r>
        <w:rPr>
          <w:rFonts w:hint="eastAsia" w:ascii="宋体" w:hAnsi="宋体" w:cs="宋体"/>
          <w:color w:val="auto"/>
          <w:szCs w:val="21"/>
          <w:lang w:val="zh-CN"/>
        </w:rPr>
        <w:t>4</w:t>
      </w:r>
      <w:r>
        <w:rPr>
          <w:rFonts w:hint="eastAsia" w:ascii="宋体" w:hAnsi="宋体" w:cs="宋体"/>
          <w:color w:val="auto"/>
          <w:szCs w:val="21"/>
        </w:rPr>
        <w:t>.</w:t>
      </w:r>
      <w:r>
        <w:rPr>
          <w:rFonts w:hint="eastAsia" w:ascii="宋体" w:hAnsi="宋体" w:cs="宋体"/>
          <w:color w:val="auto"/>
          <w:szCs w:val="21"/>
          <w:lang w:val="zh-CN"/>
        </w:rPr>
        <w:t>质疑供应商捏造事实、提供虚假材料进行质疑的，采购代理机构报告同级财政部门。情况属实的，列入不良行为记录并在指定的媒体上公告。</w:t>
      </w:r>
    </w:p>
    <w:p>
      <w:pPr>
        <w:spacing w:line="360" w:lineRule="auto"/>
        <w:ind w:firstLine="482"/>
        <w:rPr>
          <w:rFonts w:ascii="宋体" w:hAnsi="宋体" w:cs="宋体"/>
          <w:color w:val="auto"/>
          <w:szCs w:val="21"/>
          <w:lang w:val="zh-CN"/>
        </w:rPr>
      </w:pPr>
      <w:r>
        <w:rPr>
          <w:rFonts w:hint="eastAsia" w:ascii="宋体" w:hAnsi="宋体" w:cs="宋体"/>
          <w:color w:val="auto"/>
          <w:szCs w:val="21"/>
          <w:lang w:val="zh-CN"/>
        </w:rPr>
        <w:t>5</w:t>
      </w:r>
      <w:r>
        <w:rPr>
          <w:rFonts w:hint="eastAsia" w:ascii="宋体" w:hAnsi="宋体" w:cs="宋体"/>
          <w:color w:val="auto"/>
          <w:szCs w:val="21"/>
        </w:rPr>
        <w:t>.</w:t>
      </w:r>
      <w:r>
        <w:rPr>
          <w:rFonts w:hint="eastAsia" w:ascii="宋体" w:hAnsi="宋体" w:cs="宋体"/>
          <w:color w:val="auto"/>
          <w:kern w:val="0"/>
          <w:szCs w:val="21"/>
        </w:rPr>
        <w:t>质疑供应商对采购人、采购代理机构的答复不满意或者采购人、采购代理机构未在规定的时间内作出答复的，可以在答复期满后十五个工作日内向同级采购监管部门投诉。</w:t>
      </w:r>
    </w:p>
    <w:p>
      <w:pPr>
        <w:autoSpaceDE w:val="0"/>
        <w:autoSpaceDN w:val="0"/>
        <w:adjustRightInd w:val="0"/>
        <w:spacing w:line="360" w:lineRule="auto"/>
        <w:jc w:val="center"/>
        <w:outlineLvl w:val="1"/>
        <w:rPr>
          <w:rFonts w:ascii="宋体" w:hAnsi="宋体" w:cs="宋体"/>
          <w:b/>
          <w:bCs/>
          <w:color w:val="auto"/>
          <w:szCs w:val="21"/>
          <w:lang w:val="zh-CN"/>
        </w:rPr>
      </w:pPr>
      <w:bookmarkStart w:id="8" w:name="_Toc15287"/>
      <w:r>
        <w:rPr>
          <w:rFonts w:hint="eastAsia" w:ascii="宋体" w:hAnsi="宋体" w:cs="宋体"/>
          <w:b/>
          <w:bCs/>
          <w:color w:val="auto"/>
          <w:szCs w:val="21"/>
          <w:lang w:val="zh-CN"/>
        </w:rPr>
        <w:t>二、招标文件</w:t>
      </w:r>
      <w:bookmarkEnd w:id="6"/>
      <w:bookmarkEnd w:id="7"/>
      <w:bookmarkEnd w:id="8"/>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（一）招标文件的构成</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本招标文件由以下部份组成：</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招标公告</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2.采购内容及需求</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投标人须知</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评标办法及评分标准</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5.</w:t>
      </w:r>
      <w:r>
        <w:rPr>
          <w:rFonts w:hint="eastAsia" w:ascii="宋体" w:hAnsi="宋体" w:cs="宋体"/>
          <w:color w:val="auto"/>
          <w:szCs w:val="21"/>
          <w:lang w:val="zh-CN"/>
        </w:rPr>
        <w:t>合同主要条款</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6.</w:t>
      </w:r>
      <w:r>
        <w:rPr>
          <w:rFonts w:hint="eastAsia" w:ascii="宋体" w:hAnsi="宋体" w:cs="宋体"/>
          <w:color w:val="auto"/>
          <w:szCs w:val="21"/>
          <w:lang w:val="zh-CN"/>
        </w:rPr>
        <w:t>投标文件格式</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rPr>
        <w:t>7.本项目招标文件的澄清、答复、修改、补充的内容</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（二）招标文件的澄清与修改</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w:t>
      </w:r>
      <w:r>
        <w:rPr>
          <w:rFonts w:hint="eastAsia" w:ascii="宋体" w:hAnsi="宋体" w:cs="宋体"/>
          <w:color w:val="auto"/>
          <w:szCs w:val="21"/>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逾期不得再对招标文件内容提出质疑，并视为对招标文件内容认可。</w:t>
      </w:r>
    </w:p>
    <w:p>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s="宋体"/>
          <w:color w:val="auto"/>
          <w:szCs w:val="21"/>
        </w:rPr>
        <w:t>.</w:t>
      </w:r>
      <w:r>
        <w:rPr>
          <w:rFonts w:hint="eastAsia" w:ascii="宋体" w:hAnsi="宋体" w:cs="宋体"/>
          <w:color w:val="auto"/>
          <w:szCs w:val="21"/>
          <w:lang w:val="zh-CN"/>
        </w:rPr>
        <w:t>采购代理机构对已发出的招标文件进行必要的澄清或者修改，澄清或者修改内容可能影响投标文件编制的，采购代理机构于投标截止时间至少15日前通知所在潜在投标人澄清或更正公告；不足15日的，采购代理机构有权顺延提交投标文件的截止时间。</w:t>
      </w:r>
    </w:p>
    <w:p>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3</w:t>
      </w:r>
      <w:r>
        <w:rPr>
          <w:rFonts w:hint="eastAsia" w:ascii="宋体" w:hAnsi="宋体" w:cs="宋体"/>
          <w:color w:val="auto"/>
          <w:szCs w:val="21"/>
        </w:rPr>
        <w:t>.</w:t>
      </w:r>
      <w:r>
        <w:rPr>
          <w:rFonts w:hint="eastAsia" w:ascii="宋体" w:hAnsi="宋体" w:cs="宋体"/>
          <w:color w:val="auto"/>
          <w:szCs w:val="21"/>
          <w:lang w:val="zh-CN"/>
        </w:rPr>
        <w:t>当招标文件与招标文件的澄清、修改、补充等在同一内容的表述上不一致时，以最后发出的书面文件为准。</w:t>
      </w:r>
    </w:p>
    <w:p>
      <w:pPr>
        <w:pStyle w:val="68"/>
        <w:ind w:firstLine="420"/>
        <w:rPr>
          <w:rFonts w:hAnsi="宋体" w:cs="宋体"/>
          <w:color w:val="auto"/>
          <w:szCs w:val="21"/>
        </w:rPr>
      </w:pPr>
    </w:p>
    <w:p>
      <w:pPr>
        <w:autoSpaceDE w:val="0"/>
        <w:autoSpaceDN w:val="0"/>
        <w:adjustRightInd w:val="0"/>
        <w:spacing w:line="360" w:lineRule="auto"/>
        <w:jc w:val="center"/>
        <w:outlineLvl w:val="1"/>
        <w:rPr>
          <w:rFonts w:ascii="宋体" w:hAnsi="宋体" w:cs="宋体"/>
          <w:b/>
          <w:bCs/>
          <w:color w:val="auto"/>
          <w:szCs w:val="21"/>
          <w:lang w:val="zh-CN"/>
        </w:rPr>
      </w:pPr>
      <w:bookmarkStart w:id="9" w:name="_Toc173810695"/>
      <w:bookmarkStart w:id="10" w:name="_Toc255459640"/>
      <w:bookmarkStart w:id="11" w:name="_Toc302983100"/>
      <w:bookmarkStart w:id="12" w:name="_Toc255821818"/>
      <w:bookmarkStart w:id="13" w:name="_Toc306901452"/>
      <w:bookmarkStart w:id="14" w:name="_Toc255819824"/>
      <w:bookmarkStart w:id="15" w:name="_Toc32605"/>
      <w:r>
        <w:rPr>
          <w:rFonts w:hint="eastAsia" w:ascii="宋体" w:hAnsi="宋体" w:cs="宋体"/>
          <w:b/>
          <w:bCs/>
          <w:color w:val="auto"/>
          <w:szCs w:val="21"/>
          <w:lang w:val="zh-CN"/>
        </w:rPr>
        <w:t>三、投标文件</w:t>
      </w:r>
      <w:bookmarkEnd w:id="9"/>
      <w:bookmarkEnd w:id="10"/>
      <w:bookmarkEnd w:id="11"/>
      <w:bookmarkEnd w:id="12"/>
      <w:bookmarkEnd w:id="13"/>
      <w:bookmarkEnd w:id="14"/>
      <w:r>
        <w:rPr>
          <w:rFonts w:hint="eastAsia" w:ascii="宋体" w:hAnsi="宋体" w:cs="宋体"/>
          <w:b/>
          <w:bCs/>
          <w:color w:val="auto"/>
          <w:szCs w:val="21"/>
          <w:lang w:val="zh-CN"/>
        </w:rPr>
        <w:t>的编制</w:t>
      </w:r>
      <w:bookmarkEnd w:id="15"/>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（一）投标文件的组成</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投标人应仔细阅读招标文件的所有内容，并按招标文件的规定及附件要求的内容和格式，提交完整的投标文件。投标人提交的投标文件包括两部分：</w:t>
      </w:r>
      <w:r>
        <w:rPr>
          <w:rFonts w:hint="eastAsia" w:ascii="宋体" w:hAnsi="宋体" w:cs="宋体"/>
          <w:b/>
          <w:bCs/>
          <w:color w:val="auto"/>
          <w:szCs w:val="21"/>
        </w:rPr>
        <w:t>资信技术文件和商务报价文件。</w:t>
      </w:r>
    </w:p>
    <w:p>
      <w:pPr>
        <w:snapToGrid w:val="0"/>
        <w:spacing w:line="400" w:lineRule="exact"/>
        <w:ind w:firstLine="422" w:firstLineChars="200"/>
        <w:rPr>
          <w:rFonts w:ascii="宋体" w:hAnsi="宋体" w:cs="宋体"/>
          <w:color w:val="auto"/>
          <w:szCs w:val="21"/>
        </w:rPr>
      </w:pPr>
      <w:r>
        <w:rPr>
          <w:rFonts w:hint="eastAsia" w:ascii="宋体" w:hAnsi="宋体" w:cs="宋体"/>
          <w:b/>
          <w:bCs/>
          <w:color w:val="auto"/>
          <w:szCs w:val="21"/>
        </w:rPr>
        <w:t>1、技术资信文件包括</w:t>
      </w:r>
      <w:r>
        <w:rPr>
          <w:rFonts w:hint="eastAsia" w:ascii="宋体" w:hAnsi="宋体" w:cs="宋体"/>
          <w:color w:val="auto"/>
          <w:szCs w:val="21"/>
        </w:rPr>
        <w:t>：根据招标文件的有关技术指标和要求，包括以下内容（可根据评分标准编制，但不限于）</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（1）投标声明书（见附件3）；</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（2）授权委托书（另随身携带 1 份）（法定代表人亲自办理投标事宜的，则无需提交)（见附件4）；</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（3）法人或者其他组织的营业执照等证明文件，自然人的身份证明；</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（4）财务状况报告，依法缴纳税收和社会保障资金的相关材料；</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（5）投标人情况介绍（人员与技术力量、企业规模、经营业绩等）（见附件5）；</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（6）对投标产品的配置、整体性能、功能特点等的详细描述；</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（7）项目设备配置清单（见附件6）；</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（8）备品备件和随机特殊工具清单（格式见附件7）</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（9）技术需求响应表（见附件8）；</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（10）产品易损零配件价格表（见附件9）；</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（11）售后服务承诺（包括售后服务方案、措施、响应及本地化服务能力等情况）；</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（12）投标人</w:t>
      </w:r>
      <w:r>
        <w:rPr>
          <w:rFonts w:hint="eastAsia" w:ascii="宋体" w:hAnsi="宋体" w:cs="宋体"/>
          <w:color w:val="auto"/>
          <w:szCs w:val="21"/>
          <w:lang w:val="en-US" w:eastAsia="zh-CN"/>
        </w:rPr>
        <w:t>同类</w:t>
      </w:r>
      <w:r>
        <w:rPr>
          <w:rFonts w:hint="eastAsia" w:ascii="宋体" w:hAnsi="宋体" w:cs="宋体"/>
          <w:color w:val="auto"/>
          <w:szCs w:val="21"/>
        </w:rPr>
        <w:t>项目实施情况一览表（见附件10）；</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（13）商务需求响应表（见附件11）；</w:t>
      </w:r>
    </w:p>
    <w:p>
      <w:pPr>
        <w:pStyle w:val="2"/>
        <w:rPr>
          <w:rFonts w:hint="default" w:eastAsia="宋体"/>
          <w:lang w:val="en-US" w:eastAsia="zh-CN"/>
        </w:rPr>
      </w:pPr>
      <w:r>
        <w:rPr>
          <w:rFonts w:hint="eastAsia" w:ascii="宋体" w:hAnsi="宋体" w:cs="宋体"/>
          <w:color w:val="auto"/>
          <w:szCs w:val="21"/>
          <w:lang w:val="en-US" w:eastAsia="zh-CN"/>
        </w:rPr>
        <w:t xml:space="preserve">   （14）投标保证金</w:t>
      </w:r>
      <w:r>
        <w:rPr>
          <w:rFonts w:hint="eastAsia" w:ascii="宋体" w:hAnsi="宋体" w:cs="宋体"/>
          <w:color w:val="auto"/>
          <w:szCs w:val="21"/>
        </w:rPr>
        <w:t>（见附件1</w:t>
      </w:r>
      <w:r>
        <w:rPr>
          <w:rFonts w:hint="eastAsia" w:ascii="宋体" w:hAnsi="宋体" w:cs="宋体"/>
          <w:color w:val="auto"/>
          <w:szCs w:val="21"/>
          <w:lang w:val="en-US" w:eastAsia="zh-CN"/>
        </w:rPr>
        <w:t>2</w:t>
      </w:r>
      <w:r>
        <w:rPr>
          <w:rFonts w:hint="eastAsia" w:ascii="宋体" w:hAnsi="宋体" w:cs="宋体"/>
          <w:color w:val="auto"/>
          <w:szCs w:val="21"/>
        </w:rPr>
        <w:t>）</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（14）投标人认为需要提供的其他资料（包括可能影响投标人资信技术文件评分的各类证明材料）。</w:t>
      </w:r>
    </w:p>
    <w:p>
      <w:pPr>
        <w:snapToGrid w:val="0"/>
        <w:spacing w:line="400" w:lineRule="exact"/>
        <w:ind w:firstLine="422" w:firstLineChars="200"/>
        <w:rPr>
          <w:rFonts w:ascii="宋体" w:hAnsi="宋体" w:cs="宋体"/>
          <w:b/>
          <w:bCs/>
          <w:color w:val="auto"/>
          <w:szCs w:val="21"/>
        </w:rPr>
      </w:pPr>
      <w:r>
        <w:rPr>
          <w:rFonts w:hint="eastAsia" w:ascii="宋体" w:hAnsi="宋体" w:cs="宋体"/>
          <w:b/>
          <w:bCs/>
          <w:color w:val="auto"/>
          <w:szCs w:val="21"/>
        </w:rPr>
        <w:t>2、报价文件包含以下内容：</w:t>
      </w:r>
    </w:p>
    <w:p>
      <w:pPr>
        <w:snapToGrid w:val="0"/>
        <w:spacing w:line="360" w:lineRule="auto"/>
        <w:ind w:firstLine="480" w:firstLineChars="200"/>
        <w:rPr>
          <w:rFonts w:ascii="宋体" w:hAnsi="宋体"/>
          <w:color w:val="auto"/>
          <w:sz w:val="24"/>
        </w:rPr>
      </w:pPr>
      <w:r>
        <w:rPr>
          <w:rFonts w:hint="eastAsia" w:ascii="宋体" w:hAnsi="宋体"/>
          <w:color w:val="auto"/>
          <w:sz w:val="24"/>
        </w:rPr>
        <w:t>（1）开标一览表（见附件1）；</w:t>
      </w:r>
    </w:p>
    <w:p>
      <w:pPr>
        <w:snapToGrid w:val="0"/>
        <w:spacing w:line="360" w:lineRule="auto"/>
        <w:ind w:firstLine="480" w:firstLineChars="200"/>
        <w:rPr>
          <w:rFonts w:ascii="宋体" w:hAnsi="宋体"/>
          <w:color w:val="auto"/>
          <w:sz w:val="24"/>
        </w:rPr>
      </w:pPr>
      <w:r>
        <w:rPr>
          <w:rFonts w:hint="eastAsia" w:ascii="宋体" w:hAnsi="宋体"/>
          <w:color w:val="auto"/>
          <w:sz w:val="24"/>
        </w:rPr>
        <w:t>（2）报价明细表（见附件2）；</w:t>
      </w:r>
    </w:p>
    <w:p>
      <w:pPr>
        <w:autoSpaceDE w:val="0"/>
        <w:autoSpaceDN w:val="0"/>
        <w:adjustRightInd w:val="0"/>
        <w:spacing w:line="360" w:lineRule="auto"/>
        <w:ind w:firstLine="480" w:firstLineChars="200"/>
        <w:rPr>
          <w:rFonts w:asciiTheme="minorEastAsia" w:hAnsiTheme="minorEastAsia" w:eastAsiaTheme="minorEastAsia"/>
          <w:color w:val="auto"/>
          <w:sz w:val="21"/>
          <w:szCs w:val="21"/>
          <w:highlight w:val="none"/>
        </w:rPr>
      </w:pPr>
      <w:r>
        <w:rPr>
          <w:rFonts w:hint="eastAsia" w:ascii="宋体"/>
          <w:color w:val="auto"/>
          <w:kern w:val="0"/>
          <w:sz w:val="24"/>
        </w:rPr>
        <w:t>（3）投标人认为其他需要说明的内容。</w:t>
      </w:r>
    </w:p>
    <w:p>
      <w:pPr>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（二）投标文件的语言及计量</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▲1投标文件以及投标方与招标方就有关投标事宜的所有来往函电，均应以中文汉语书写。除签名、盖章、专用名称等特殊情形外，以中文汉语以外的文字表述的投标文件视同未提供。</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▲2投标计量单位，招标文件已有明确规定的，使用招标文件规定的计量单位</w:t>
      </w:r>
    </w:p>
    <w:p>
      <w:pPr>
        <w:autoSpaceDE w:val="0"/>
        <w:autoSpaceDN w:val="0"/>
        <w:adjustRightInd w:val="0"/>
        <w:spacing w:line="360" w:lineRule="auto"/>
        <w:ind w:firstLine="480"/>
        <w:rPr>
          <w:rFonts w:ascii="宋体" w:hAnsi="宋体" w:cs="宋体"/>
          <w:color w:val="auto"/>
          <w:kern w:val="0"/>
          <w:szCs w:val="21"/>
          <w:lang w:val="zh-CN"/>
        </w:rPr>
      </w:pPr>
      <w:r>
        <w:rPr>
          <w:rFonts w:hint="eastAsia" w:ascii="宋体" w:hAnsi="宋体" w:cs="宋体"/>
          <w:color w:val="auto"/>
          <w:kern w:val="0"/>
          <w:szCs w:val="21"/>
          <w:lang w:val="zh-CN"/>
        </w:rPr>
        <w:t>招标文件没有规定的，应采用中华人民共和国法定计量单位（货币单位：人民币元），否则视同未响应。</w:t>
      </w:r>
    </w:p>
    <w:p>
      <w:pPr>
        <w:spacing w:line="360" w:lineRule="auto"/>
        <w:ind w:firstLine="422" w:firstLineChars="200"/>
        <w:rPr>
          <w:rFonts w:ascii="宋体" w:hAnsi="宋体" w:cs="宋体"/>
          <w:b/>
          <w:color w:val="auto"/>
          <w:kern w:val="0"/>
          <w:szCs w:val="21"/>
        </w:rPr>
      </w:pPr>
      <w:r>
        <w:rPr>
          <w:rFonts w:hint="eastAsia" w:ascii="宋体" w:hAnsi="宋体" w:cs="宋体"/>
          <w:b/>
          <w:color w:val="auto"/>
          <w:szCs w:val="21"/>
          <w:lang w:val="zh-CN"/>
        </w:rPr>
        <w:t>（三）投标报价</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1.投标报价应按招标文件中相关附表格式填写。</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2.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pPr>
        <w:autoSpaceDE w:val="0"/>
        <w:autoSpaceDN w:val="0"/>
        <w:adjustRightInd w:val="0"/>
        <w:spacing w:line="40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▲3.投标文件只允许有一个报价，有选择的报价将不予接受。</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（四）投标文件的有效期</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▲1.自投标截止日起</w:t>
      </w:r>
      <w:r>
        <w:rPr>
          <w:rFonts w:hint="eastAsia" w:ascii="宋体" w:hAnsi="宋体" w:cs="宋体"/>
          <w:color w:val="auto"/>
          <w:szCs w:val="21"/>
          <w:u w:val="single"/>
        </w:rPr>
        <w:t>90</w:t>
      </w:r>
      <w:r>
        <w:rPr>
          <w:rFonts w:hint="eastAsia" w:ascii="宋体" w:hAnsi="宋体" w:cs="宋体"/>
          <w:color w:val="auto"/>
          <w:szCs w:val="21"/>
        </w:rPr>
        <w:t>天投标文件应保持有效。有效期不足的投标文件将被拒绝。</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2.在特殊情况下，招标人可与投标人协商延长投标书的有效期，这种要求和答复均以书面形式进行。</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3.投标人可拒绝接受延期要求而不会导致投标保证金被没收。同意延长有效期的投标人需要相应延长投标保证金的有效期，但不能修改投标文件。</w:t>
      </w:r>
    </w:p>
    <w:p>
      <w:pPr>
        <w:pStyle w:val="10"/>
        <w:numPr>
          <w:ilvl w:val="0"/>
          <w:numId w:val="0"/>
        </w:numPr>
        <w:tabs>
          <w:tab w:val="left" w:pos="454"/>
          <w:tab w:val="left" w:pos="720"/>
        </w:tabs>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4.中标人的投标文件自开标之日起至合同履行完毕止均应保持有效。</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（五）投标保证金</w:t>
      </w:r>
    </w:p>
    <w:p>
      <w:pPr>
        <w:spacing w:line="360" w:lineRule="auto"/>
        <w:ind w:firstLine="630" w:firstLineChars="300"/>
        <w:rPr>
          <w:rFonts w:hint="eastAsia" w:ascii="宋体" w:hAnsi="宋体" w:cs="宋体"/>
          <w:color w:val="auto"/>
          <w:kern w:val="0"/>
          <w:sz w:val="21"/>
          <w:szCs w:val="21"/>
        </w:rPr>
      </w:pPr>
      <w:bookmarkStart w:id="16" w:name="_Toc255459641"/>
      <w:bookmarkStart w:id="17" w:name="_Toc173810696"/>
      <w:r>
        <w:rPr>
          <w:rFonts w:hint="eastAsia" w:ascii="宋体" w:hAnsi="宋体" w:cs="宋体"/>
          <w:color w:val="auto"/>
          <w:kern w:val="0"/>
          <w:sz w:val="21"/>
          <w:szCs w:val="21"/>
        </w:rPr>
        <w:t xml:space="preserve">1 </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投标人在递交投标文件的同时，应按投标人须知前附表规定的金额、担保形式和第七章“投标文件格式”规定的投标保证金格式递交投标保证金，并作为其投标文件的组成部分。</w:t>
      </w:r>
    </w:p>
    <w:p>
      <w:pPr>
        <w:spacing w:line="360" w:lineRule="auto"/>
        <w:ind w:firstLine="630" w:firstLineChars="300"/>
        <w:rPr>
          <w:rFonts w:hint="eastAsia"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 xml:space="preserve"> 投标人不按本章第1项要求提交投标保证金的，评标委员会将否决其投标。</w:t>
      </w:r>
    </w:p>
    <w:p>
      <w:pPr>
        <w:spacing w:line="360" w:lineRule="auto"/>
        <w:ind w:firstLine="630" w:firstLineChars="300"/>
        <w:rPr>
          <w:rFonts w:hint="eastAsia" w:ascii="宋体" w:hAnsi="宋体" w:cs="宋体"/>
          <w:color w:val="auto"/>
          <w:kern w:val="0"/>
          <w:sz w:val="21"/>
          <w:szCs w:val="21"/>
        </w:rPr>
      </w:pPr>
      <w:r>
        <w:rPr>
          <w:rFonts w:hint="eastAsia" w:ascii="宋体" w:hAnsi="宋体" w:cs="宋体"/>
          <w:color w:val="auto"/>
          <w:kern w:val="0"/>
          <w:sz w:val="21"/>
          <w:szCs w:val="21"/>
        </w:rPr>
        <w:t>3</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 xml:space="preserve"> 招标人与中标人签订合同后5日内，向未中标的投标人和中标人退还投标保证金</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无</w:t>
      </w:r>
      <w:r>
        <w:rPr>
          <w:rFonts w:hint="eastAsia" w:ascii="宋体" w:hAnsi="宋体" w:cs="宋体"/>
          <w:color w:val="auto"/>
          <w:kern w:val="0"/>
          <w:sz w:val="21"/>
          <w:szCs w:val="21"/>
        </w:rPr>
        <w:t>息</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4.发生下列情况之一，投标保证金将不予退还：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（1）投标人在投标有效期内撤回投标文件或放弃中标资格的；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（2）投标人在投标过程中弄虚作假，提供虚假材料的；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（3）中标供应商拒绝与采购人签订合同的；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（4）将中标项目转让给他人，或者在投标文件中未说明且未经采购人同意，将中标项目分包给他人的；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（5）拒绝履行合同义务的；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（6）其他严重扰乱招投标程序的；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（7）法律、法规明确规定的其他行为。</w:t>
      </w:r>
    </w:p>
    <w:p>
      <w:pPr>
        <w:autoSpaceDE w:val="0"/>
        <w:autoSpaceDN w:val="0"/>
        <w:adjustRightInd w:val="0"/>
        <w:spacing w:line="360" w:lineRule="auto"/>
        <w:ind w:firstLine="422" w:firstLineChars="200"/>
        <w:rPr>
          <w:rFonts w:ascii="宋体" w:hAnsi="宋体" w:cs="宋体"/>
          <w:b/>
          <w:color w:val="auto"/>
          <w:szCs w:val="21"/>
          <w:lang w:val="zh-CN"/>
        </w:rPr>
      </w:pPr>
      <w:r>
        <w:rPr>
          <w:rFonts w:hint="eastAsia" w:ascii="宋体" w:hAnsi="宋体" w:cs="宋体"/>
          <w:b/>
          <w:color w:val="auto"/>
          <w:szCs w:val="21"/>
          <w:lang w:val="zh-CN"/>
        </w:rPr>
        <w:t>（六）投标文件的份数和签署</w:t>
      </w:r>
    </w:p>
    <w:bookmarkEnd w:id="16"/>
    <w:bookmarkEnd w:id="17"/>
    <w:p>
      <w:pPr>
        <w:snapToGrid w:val="0"/>
        <w:spacing w:line="400" w:lineRule="exact"/>
        <w:ind w:firstLine="420" w:firstLineChars="200"/>
        <w:rPr>
          <w:rFonts w:ascii="宋体" w:hAnsi="宋体" w:cs="宋体"/>
          <w:color w:val="auto"/>
          <w:szCs w:val="21"/>
        </w:rPr>
      </w:pPr>
      <w:bookmarkStart w:id="18" w:name="_Toc173810697"/>
      <w:bookmarkStart w:id="19" w:name="_Toc255819826"/>
      <w:bookmarkStart w:id="20" w:name="_Toc255821820"/>
      <w:bookmarkStart w:id="21" w:name="_Toc302983102"/>
      <w:bookmarkStart w:id="22" w:name="_Toc306901455"/>
      <w:bookmarkStart w:id="23" w:name="_Toc255459642"/>
      <w:r>
        <w:rPr>
          <w:rFonts w:hint="eastAsia" w:ascii="宋体" w:hAnsi="宋体" w:cs="宋体"/>
          <w:color w:val="auto"/>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2.投标人应按商务标正本1份，副本4份分别编制并单独装订成册，投标文件的封面应注明“正本”、“副本”字样。活页装订的投标文件将被拒绝。</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3.投标文件的正本需打印或用不褪色的墨水填写，投标文件正本除本《投标人须知》中规定的可提供复印件外均须提供原件。副本为正本的复印件。</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4.投标文件须由投标人在规定位置盖章并由法定代表人或法定代表人的授权委托人签署，投标人应写全称。</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310" w:firstLineChars="147"/>
        <w:rPr>
          <w:rFonts w:ascii="宋体" w:hAnsi="宋体" w:cs="宋体"/>
          <w:b/>
          <w:color w:val="auto"/>
          <w:szCs w:val="21"/>
        </w:rPr>
      </w:pPr>
      <w:r>
        <w:rPr>
          <w:rFonts w:hint="eastAsia" w:ascii="宋体" w:hAnsi="宋体" w:cs="宋体"/>
          <w:b/>
          <w:color w:val="auto"/>
          <w:szCs w:val="21"/>
        </w:rPr>
        <w:t>（七）投标文件的包装、递交、修改和撤回</w:t>
      </w:r>
    </w:p>
    <w:p>
      <w:pPr>
        <w:snapToGrid w:val="0"/>
        <w:spacing w:line="400" w:lineRule="exact"/>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b/>
          <w:color w:val="auto"/>
          <w:szCs w:val="21"/>
        </w:rPr>
        <w:t>投标人应将报价文件和技术资信文件分别装袋密封</w:t>
      </w:r>
      <w:r>
        <w:rPr>
          <w:rFonts w:hint="eastAsia" w:ascii="宋体" w:hAnsi="宋体" w:cs="宋体"/>
          <w:color w:val="auto"/>
          <w:szCs w:val="21"/>
        </w:rPr>
        <w:t>。</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投标文件的包装封面上应注明投标人名称、投标人地址、投标文件名称、投标项目名称、项目编号、标项及“开标时启封”字样，并加盖投标人公章。</w:t>
      </w:r>
    </w:p>
    <w:p>
      <w:pPr>
        <w:snapToGrid w:val="0"/>
        <w:spacing w:line="400" w:lineRule="exact"/>
        <w:ind w:firstLine="420"/>
        <w:rPr>
          <w:rFonts w:ascii="宋体" w:hAnsi="宋体" w:cs="宋体"/>
          <w:color w:val="auto"/>
          <w:szCs w:val="21"/>
        </w:rPr>
      </w:pPr>
      <w:r>
        <w:rPr>
          <w:rFonts w:hint="eastAsia" w:ascii="宋体" w:hAnsi="宋体" w:cs="宋体"/>
          <w:color w:val="auto"/>
          <w:szCs w:val="21"/>
        </w:rPr>
        <w:t>2.未按规定密封或标记的投标文件将被拒绝，由此造成投标文件被误投或提前拆封的风险由投标人承担。</w:t>
      </w:r>
    </w:p>
    <w:p>
      <w:pPr>
        <w:snapToGrid w:val="0"/>
        <w:spacing w:line="400" w:lineRule="exact"/>
        <w:ind w:firstLine="420"/>
        <w:rPr>
          <w:rFonts w:ascii="宋体" w:hAnsi="宋体" w:cs="宋体"/>
          <w:color w:val="auto"/>
          <w:szCs w:val="21"/>
        </w:rPr>
      </w:pPr>
      <w:r>
        <w:rPr>
          <w:rFonts w:hint="eastAsia" w:ascii="宋体" w:hAnsi="宋体" w:cs="宋体"/>
          <w:color w:val="auto"/>
          <w:szCs w:val="21"/>
        </w:rPr>
        <w:t>3.投标人在投标截止时间之前，可以对已提交的投标文件进行修改或撤回，并书面通知招标采购单位</w:t>
      </w:r>
    </w:p>
    <w:p>
      <w:pPr>
        <w:snapToGrid w:val="0"/>
        <w:spacing w:line="400" w:lineRule="exact"/>
        <w:ind w:firstLine="420"/>
        <w:rPr>
          <w:rFonts w:ascii="宋体" w:hAnsi="宋体" w:cs="宋体"/>
          <w:color w:val="auto"/>
          <w:szCs w:val="21"/>
        </w:rPr>
      </w:pPr>
      <w:r>
        <w:rPr>
          <w:rFonts w:hint="eastAsia" w:ascii="宋体" w:hAnsi="宋体" w:cs="宋体"/>
          <w:color w:val="auto"/>
          <w:szCs w:val="21"/>
        </w:rPr>
        <w:t>投标截止时间后，投标人不得撤回、修改投标文件。修改后重新递交的投标文件应当按本招标文件的要求签署、盖章和密封。</w:t>
      </w:r>
    </w:p>
    <w:p>
      <w:pPr>
        <w:snapToGrid w:val="0"/>
        <w:spacing w:beforeLines="50" w:line="400" w:lineRule="exact"/>
        <w:ind w:firstLine="310" w:firstLineChars="147"/>
        <w:rPr>
          <w:rFonts w:ascii="宋体" w:hAnsi="宋体" w:cs="宋体"/>
          <w:b/>
          <w:color w:val="auto"/>
          <w:szCs w:val="21"/>
        </w:rPr>
      </w:pPr>
      <w:r>
        <w:rPr>
          <w:rFonts w:hint="eastAsia" w:ascii="宋体" w:hAnsi="宋体" w:cs="宋体"/>
          <w:b/>
          <w:color w:val="auto"/>
          <w:szCs w:val="21"/>
        </w:rPr>
        <w:t>（八）投标无效的情形</w:t>
      </w:r>
    </w:p>
    <w:p>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1.在符合性审查时，如发现下列情形之一的，投标文件将被视为无效：</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1）超出经营范围投标的；</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2）不符合招标文件标明的资格要求的；</w:t>
      </w:r>
    </w:p>
    <w:p>
      <w:pPr>
        <w:snapToGrid w:val="0"/>
        <w:spacing w:line="400" w:lineRule="exact"/>
        <w:ind w:firstLine="413" w:firstLineChars="196"/>
        <w:rPr>
          <w:rFonts w:ascii="宋体" w:hAnsi="宋体" w:cs="宋体"/>
          <w:bCs/>
          <w:color w:val="auto"/>
          <w:szCs w:val="21"/>
        </w:rPr>
      </w:pPr>
      <w:r>
        <w:rPr>
          <w:rFonts w:hint="eastAsia" w:ascii="宋体" w:hAnsi="宋体" w:cs="宋体"/>
          <w:b/>
          <w:color w:val="auto"/>
          <w:szCs w:val="21"/>
        </w:rPr>
        <w:t>（</w:t>
      </w:r>
      <w:r>
        <w:rPr>
          <w:rFonts w:hint="eastAsia" w:ascii="宋体" w:hAnsi="宋体" w:cs="宋体"/>
          <w:color w:val="auto"/>
          <w:szCs w:val="21"/>
        </w:rPr>
        <w:t>3）投标文件无法定代表人签字,或未</w:t>
      </w:r>
      <w:r>
        <w:rPr>
          <w:rFonts w:hint="eastAsia" w:ascii="宋体" w:hAnsi="宋体" w:cs="宋体"/>
          <w:bCs/>
          <w:color w:val="auto"/>
          <w:szCs w:val="21"/>
        </w:rPr>
        <w:t>提供法定代表人授权委托书、投标声明书或者填写项目不齐全的；</w:t>
      </w:r>
    </w:p>
    <w:p>
      <w:pPr>
        <w:snapToGrid w:val="0"/>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4）投标代表人未能出具身份证明或与法定代表人授权委托人身份不符的；</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snapToGrid w:val="0"/>
          <w:color w:val="auto"/>
          <w:szCs w:val="21"/>
        </w:rPr>
        <w:t>5）</w:t>
      </w:r>
      <w:r>
        <w:rPr>
          <w:rFonts w:hint="eastAsia" w:ascii="宋体" w:hAnsi="宋体" w:cs="宋体"/>
          <w:color w:val="auto"/>
          <w:szCs w:val="21"/>
        </w:rPr>
        <w:t>投标文件格式不规范、项目不齐全或者内容虚假的；</w:t>
      </w:r>
    </w:p>
    <w:p>
      <w:pPr>
        <w:pStyle w:val="12"/>
        <w:spacing w:line="400" w:lineRule="exact"/>
        <w:ind w:firstLine="413" w:firstLineChars="196"/>
        <w:rPr>
          <w:rFonts w:ascii="宋体" w:hAnsi="宋体" w:cs="宋体"/>
          <w:snapToGrid w:val="0"/>
          <w:color w:val="auto"/>
          <w:szCs w:val="21"/>
        </w:rPr>
      </w:pPr>
      <w:r>
        <w:rPr>
          <w:rFonts w:hint="eastAsia" w:ascii="宋体" w:hAnsi="宋体" w:cs="宋体"/>
          <w:b/>
          <w:color w:val="auto"/>
          <w:szCs w:val="21"/>
        </w:rPr>
        <w:t>（</w:t>
      </w:r>
      <w:r>
        <w:rPr>
          <w:rFonts w:hint="eastAsia" w:ascii="宋体" w:hAnsi="宋体" w:cs="宋体"/>
          <w:color w:val="auto"/>
          <w:szCs w:val="21"/>
        </w:rPr>
        <w:t>6）投标文件的实质性内容未使用中文表述、意思表述不明确、前后矛盾或者使用计量单位不符合招标文件要求的（经评标委员会认定并允许其当场更正的笔误除外）；</w:t>
      </w:r>
    </w:p>
    <w:p>
      <w:pPr>
        <w:pStyle w:val="12"/>
        <w:spacing w:line="400" w:lineRule="exact"/>
        <w:ind w:firstLine="413" w:firstLineChars="196"/>
        <w:rPr>
          <w:rFonts w:ascii="宋体" w:hAnsi="宋体" w:cs="宋体"/>
          <w:snapToGrid w:val="0"/>
          <w:color w:val="auto"/>
          <w:szCs w:val="21"/>
        </w:rPr>
      </w:pPr>
      <w:r>
        <w:rPr>
          <w:rFonts w:hint="eastAsia" w:ascii="宋体" w:hAnsi="宋体" w:cs="宋体"/>
          <w:b/>
          <w:color w:val="auto"/>
          <w:szCs w:val="21"/>
        </w:rPr>
        <w:t>（</w:t>
      </w:r>
      <w:r>
        <w:rPr>
          <w:rFonts w:hint="eastAsia" w:ascii="宋体" w:hAnsi="宋体" w:cs="宋体"/>
          <w:snapToGrid w:val="0"/>
          <w:color w:val="auto"/>
          <w:szCs w:val="21"/>
        </w:rPr>
        <w:t>7）投标有效期、服务期/供货期等商务条款不能满足招标文件要求的；</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8）未实质性响应招标文件要求或者投标文件有招标方不能接受的附加条件的。</w:t>
      </w:r>
    </w:p>
    <w:p>
      <w:pPr>
        <w:pStyle w:val="12"/>
        <w:spacing w:line="400" w:lineRule="exact"/>
        <w:ind w:firstLine="413" w:firstLineChars="196"/>
        <w:rPr>
          <w:rFonts w:ascii="宋体" w:hAnsi="宋体" w:cs="宋体"/>
          <w:b/>
          <w:bCs/>
          <w:color w:val="auto"/>
          <w:szCs w:val="21"/>
        </w:rPr>
      </w:pPr>
      <w:r>
        <w:rPr>
          <w:rFonts w:hint="eastAsia" w:ascii="宋体" w:hAnsi="宋体" w:cs="宋体"/>
          <w:b/>
          <w:bCs/>
          <w:color w:val="auto"/>
          <w:szCs w:val="21"/>
        </w:rPr>
        <w:t>2.在商务评审时，如发现下列情形之一的，投标文件将被视为无效：</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1）未采用人民币报价或者未按照招标文件标明的币种报价的；</w:t>
      </w:r>
    </w:p>
    <w:p>
      <w:pPr>
        <w:pStyle w:val="12"/>
        <w:spacing w:line="400" w:lineRule="exact"/>
        <w:ind w:firstLine="413" w:firstLineChars="196"/>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2）报价超出最高限价，或者超出采购预算金额，采购人不能支付的；</w:t>
      </w:r>
    </w:p>
    <w:p>
      <w:pPr>
        <w:pStyle w:val="12"/>
        <w:spacing w:line="400" w:lineRule="exact"/>
        <w:ind w:firstLine="420"/>
        <w:rPr>
          <w:rFonts w:ascii="宋体" w:hAnsi="宋体" w:cs="宋体"/>
          <w:color w:val="auto"/>
          <w:szCs w:val="21"/>
        </w:rPr>
      </w:pPr>
      <w:r>
        <w:rPr>
          <w:rFonts w:hint="eastAsia" w:ascii="宋体" w:hAnsi="宋体" w:cs="宋体"/>
          <w:color w:val="auto"/>
          <w:szCs w:val="21"/>
        </w:rPr>
        <w:t>（3）投标报价具有选择性，或者开标价格与投标文件承诺的优惠价格不一致的；</w:t>
      </w:r>
    </w:p>
    <w:p>
      <w:pPr>
        <w:pStyle w:val="12"/>
        <w:spacing w:line="400" w:lineRule="exact"/>
        <w:ind w:firstLine="413" w:firstLineChars="196"/>
        <w:rPr>
          <w:rFonts w:ascii="宋体" w:hAnsi="宋体" w:cs="宋体"/>
          <w:b/>
          <w:color w:val="auto"/>
          <w:szCs w:val="21"/>
        </w:rPr>
      </w:pPr>
      <w:r>
        <w:rPr>
          <w:rFonts w:hint="eastAsia" w:ascii="宋体" w:hAnsi="宋体" w:cs="宋体"/>
          <w:b/>
          <w:color w:val="auto"/>
          <w:szCs w:val="21"/>
        </w:rPr>
        <w:t>3.被拒绝的投标文件为无效。</w:t>
      </w:r>
    </w:p>
    <w:p>
      <w:pPr>
        <w:autoSpaceDE w:val="0"/>
        <w:autoSpaceDN w:val="0"/>
        <w:adjustRightInd w:val="0"/>
        <w:spacing w:line="360" w:lineRule="auto"/>
        <w:ind w:firstLine="118"/>
        <w:jc w:val="center"/>
        <w:outlineLvl w:val="1"/>
        <w:rPr>
          <w:rFonts w:ascii="宋体" w:hAnsi="宋体" w:cs="宋体"/>
          <w:color w:val="auto"/>
          <w:szCs w:val="21"/>
          <w:lang w:val="zh-CN"/>
        </w:rPr>
      </w:pPr>
      <w:bookmarkStart w:id="24" w:name="_Toc14368"/>
      <w:r>
        <w:rPr>
          <w:rFonts w:hint="eastAsia" w:ascii="宋体" w:hAnsi="宋体" w:cs="宋体"/>
          <w:b/>
          <w:bCs/>
          <w:color w:val="auto"/>
          <w:szCs w:val="21"/>
          <w:lang w:val="zh-CN"/>
        </w:rPr>
        <w:t>四、开标</w:t>
      </w:r>
      <w:bookmarkEnd w:id="18"/>
      <w:bookmarkEnd w:id="19"/>
      <w:bookmarkEnd w:id="20"/>
      <w:bookmarkEnd w:id="21"/>
      <w:bookmarkEnd w:id="22"/>
      <w:bookmarkEnd w:id="23"/>
      <w:bookmarkEnd w:id="24"/>
    </w:p>
    <w:p>
      <w:pPr>
        <w:pStyle w:val="14"/>
        <w:snapToGrid w:val="0"/>
        <w:spacing w:line="400" w:lineRule="exact"/>
        <w:ind w:firstLine="413" w:firstLineChars="196"/>
        <w:rPr>
          <w:rFonts w:hAnsi="宋体" w:cs="宋体"/>
          <w:b/>
          <w:color w:val="auto"/>
          <w:szCs w:val="21"/>
        </w:rPr>
      </w:pPr>
      <w:r>
        <w:rPr>
          <w:rFonts w:hint="eastAsia" w:hAnsi="宋体" w:cs="宋体"/>
          <w:b/>
          <w:color w:val="auto"/>
          <w:szCs w:val="21"/>
        </w:rPr>
        <w:t>（一）开标准备</w:t>
      </w:r>
    </w:p>
    <w:p>
      <w:pPr>
        <w:pStyle w:val="14"/>
        <w:snapToGrid w:val="0"/>
        <w:spacing w:line="400" w:lineRule="exact"/>
        <w:ind w:firstLine="420" w:firstLineChars="200"/>
        <w:rPr>
          <w:rFonts w:hAnsi="宋体" w:cs="宋体"/>
          <w:bCs/>
          <w:color w:val="auto"/>
          <w:szCs w:val="21"/>
        </w:rPr>
      </w:pPr>
      <w:r>
        <w:rPr>
          <w:rFonts w:hint="eastAsia" w:hAnsi="宋体" w:cs="宋体"/>
          <w:bCs/>
          <w:color w:val="auto"/>
          <w:szCs w:val="21"/>
        </w:rPr>
        <w:t>采购代理机构将在规定的时间和地点进行开标，投标人的法定代表人或其授权代表应参加开标会</w:t>
      </w:r>
      <w:r>
        <w:rPr>
          <w:rFonts w:hint="eastAsia" w:hAnsi="宋体" w:cs="宋体"/>
          <w:b/>
          <w:color w:val="auto"/>
          <w:szCs w:val="21"/>
        </w:rPr>
        <w:t>并带有效身份证、投标授权委托书等身份证明原件和投标保证金</w:t>
      </w:r>
      <w:r>
        <w:rPr>
          <w:rFonts w:hint="eastAsia" w:hAnsi="宋体" w:cs="宋体"/>
          <w:bCs/>
          <w:color w:val="auto"/>
          <w:szCs w:val="21"/>
        </w:rPr>
        <w:t>并</w:t>
      </w:r>
      <w:r>
        <w:rPr>
          <w:rFonts w:hint="eastAsia" w:hAnsi="宋体" w:cs="宋体"/>
          <w:b/>
          <w:color w:val="auto"/>
          <w:szCs w:val="21"/>
        </w:rPr>
        <w:t>在招标人指定的登记册上签名报到</w:t>
      </w:r>
      <w:r>
        <w:rPr>
          <w:rFonts w:hint="eastAsia" w:hAnsi="宋体" w:cs="宋体"/>
          <w:bCs/>
          <w:color w:val="auto"/>
          <w:szCs w:val="21"/>
        </w:rPr>
        <w:t>。投标人的法定代表人或其授权代表未按时签到的，视同放弃开标监督权利、认可开标结果。</w:t>
      </w:r>
    </w:p>
    <w:p>
      <w:pPr>
        <w:pStyle w:val="14"/>
        <w:snapToGrid w:val="0"/>
        <w:spacing w:line="400" w:lineRule="exact"/>
        <w:ind w:firstLine="413" w:firstLineChars="196"/>
        <w:rPr>
          <w:rFonts w:hAnsi="宋体" w:cs="宋体"/>
          <w:b/>
          <w:color w:val="auto"/>
          <w:szCs w:val="21"/>
        </w:rPr>
      </w:pPr>
      <w:r>
        <w:rPr>
          <w:rFonts w:hint="eastAsia" w:hAnsi="宋体" w:cs="宋体"/>
          <w:b/>
          <w:color w:val="auto"/>
          <w:szCs w:val="21"/>
        </w:rPr>
        <w:t>（二）开标程序：</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介绍参加开标会议的人员名单。</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宣布开标期间的有关事项及投标文件送达情况。</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投标人代表检查投标文件密封、完整性情况并签字确认；如投标人放弃检查、拒绝签字的，事后不得对投标文件密封性、完整性提出异议。</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主持人按标书递交时间的逆顺序当众开启各投标人的商务技术文件和商务技术文件证书证明材料，送评标委员会进行评审。</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 xml:space="preserve">技术资信文件评审结束后，宣布技术资信文件评审结果。 </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开启报价文件，评审后宣布结果。</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宣布各投标人的最终得分，推荐得分最高者为中标候选供应商。</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开标会议结束。</w:t>
      </w:r>
    </w:p>
    <w:p>
      <w:pPr>
        <w:pStyle w:val="14"/>
        <w:numPr>
          <w:ilvl w:val="0"/>
          <w:numId w:val="11"/>
        </w:numPr>
        <w:snapToGrid w:val="0"/>
        <w:spacing w:line="400" w:lineRule="exact"/>
        <w:ind w:firstLine="420" w:firstLineChars="200"/>
        <w:rPr>
          <w:rFonts w:hAnsi="宋体" w:cs="宋体"/>
          <w:bCs/>
          <w:color w:val="auto"/>
          <w:szCs w:val="21"/>
        </w:rPr>
      </w:pPr>
      <w:r>
        <w:rPr>
          <w:rFonts w:hint="eastAsia" w:hAnsi="宋体" w:cs="宋体"/>
          <w:bCs/>
          <w:color w:val="auto"/>
          <w:szCs w:val="21"/>
        </w:rPr>
        <w:t>退还各投标人的证明材料。</w:t>
      </w:r>
    </w:p>
    <w:p>
      <w:pPr>
        <w:autoSpaceDE w:val="0"/>
        <w:autoSpaceDN w:val="0"/>
        <w:adjustRightInd w:val="0"/>
        <w:spacing w:line="360" w:lineRule="auto"/>
        <w:ind w:firstLine="118"/>
        <w:jc w:val="center"/>
        <w:outlineLvl w:val="1"/>
        <w:rPr>
          <w:rFonts w:ascii="宋体" w:hAnsi="宋体" w:cs="宋体"/>
          <w:b/>
          <w:bCs/>
          <w:color w:val="auto"/>
          <w:szCs w:val="21"/>
          <w:lang w:val="zh-CN"/>
        </w:rPr>
      </w:pPr>
      <w:bookmarkStart w:id="25" w:name="_Toc29222"/>
      <w:r>
        <w:rPr>
          <w:rFonts w:hint="eastAsia" w:ascii="宋体" w:hAnsi="宋体" w:cs="宋体"/>
          <w:b/>
          <w:bCs/>
          <w:color w:val="auto"/>
          <w:szCs w:val="21"/>
          <w:lang w:val="zh-CN"/>
        </w:rPr>
        <w:t>五、评标</w:t>
      </w:r>
      <w:bookmarkEnd w:id="25"/>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（一）组建评标委员会</w:t>
      </w:r>
    </w:p>
    <w:p>
      <w:pPr>
        <w:pStyle w:val="14"/>
        <w:snapToGrid w:val="0"/>
        <w:spacing w:line="400" w:lineRule="exact"/>
        <w:ind w:firstLine="420" w:firstLineChars="200"/>
        <w:rPr>
          <w:rFonts w:hAnsi="宋体" w:cs="宋体"/>
          <w:color w:val="auto"/>
          <w:szCs w:val="21"/>
        </w:rPr>
      </w:pPr>
      <w:r>
        <w:rPr>
          <w:rFonts w:hint="eastAsia" w:hAnsi="宋体" w:cs="宋体"/>
          <w:color w:val="auto"/>
          <w:szCs w:val="21"/>
        </w:rPr>
        <w:t>本项目评标委员会由政府采购评审专家</w:t>
      </w:r>
      <w:r>
        <w:rPr>
          <w:rFonts w:hint="eastAsia" w:hAnsi="宋体" w:cs="宋体"/>
          <w:color w:val="auto"/>
          <w:szCs w:val="21"/>
          <w:u w:val="single"/>
        </w:rPr>
        <w:t>5</w:t>
      </w:r>
      <w:r>
        <w:rPr>
          <w:rFonts w:hint="eastAsia" w:hAnsi="宋体" w:cs="宋体"/>
          <w:color w:val="auto"/>
          <w:szCs w:val="21"/>
        </w:rPr>
        <w:t>人组成。</w:t>
      </w:r>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（二）评标的方式</w:t>
      </w:r>
    </w:p>
    <w:p>
      <w:pPr>
        <w:pStyle w:val="14"/>
        <w:snapToGrid w:val="0"/>
        <w:spacing w:line="400" w:lineRule="exact"/>
        <w:ind w:left="689" w:leftChars="228" w:hanging="210" w:hangingChars="100"/>
        <w:rPr>
          <w:rFonts w:hAnsi="宋体" w:cs="宋体"/>
          <w:color w:val="auto"/>
          <w:szCs w:val="21"/>
        </w:rPr>
      </w:pPr>
      <w:r>
        <w:rPr>
          <w:rFonts w:hint="eastAsia" w:hAnsi="宋体" w:cs="宋体"/>
          <w:color w:val="auto"/>
          <w:szCs w:val="21"/>
        </w:rPr>
        <w:t>本项目采用不公开方式评标，评标的依据为招标文件和投标文件。</w:t>
      </w:r>
    </w:p>
    <w:p>
      <w:pPr>
        <w:pStyle w:val="14"/>
        <w:snapToGrid w:val="0"/>
        <w:spacing w:line="400" w:lineRule="exact"/>
        <w:ind w:left="690" w:leftChars="228" w:hanging="211" w:hangingChars="100"/>
        <w:rPr>
          <w:rFonts w:hAnsi="宋体" w:cs="宋体"/>
          <w:b/>
          <w:color w:val="auto"/>
          <w:szCs w:val="21"/>
        </w:rPr>
      </w:pPr>
      <w:r>
        <w:rPr>
          <w:rFonts w:hint="eastAsia" w:hAnsi="宋体" w:cs="宋体"/>
          <w:b/>
          <w:color w:val="auto"/>
          <w:szCs w:val="21"/>
        </w:rPr>
        <w:t>（三）</w:t>
      </w:r>
      <w:r>
        <w:rPr>
          <w:rFonts w:hint="eastAsia" w:hAnsi="宋体" w:cs="宋体"/>
          <w:b/>
          <w:bCs/>
          <w:color w:val="auto"/>
          <w:szCs w:val="21"/>
        </w:rPr>
        <w:t>评标程序</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1.形式审查</w:t>
      </w:r>
    </w:p>
    <w:p>
      <w:pPr>
        <w:snapToGrid w:val="0"/>
        <w:spacing w:line="400" w:lineRule="exact"/>
        <w:ind w:firstLine="420" w:firstLineChars="200"/>
        <w:rPr>
          <w:rFonts w:ascii="宋体" w:hAnsi="宋体" w:cs="宋体"/>
          <w:b/>
          <w:color w:val="auto"/>
          <w:szCs w:val="21"/>
        </w:rPr>
      </w:pPr>
      <w:r>
        <w:rPr>
          <w:rFonts w:hint="eastAsia" w:ascii="宋体" w:hAnsi="宋体" w:cs="宋体"/>
          <w:color w:val="auto"/>
          <w:szCs w:val="21"/>
        </w:rPr>
        <w:t>采购人代表和代理机构工作人员协助评标委员会对投标人的资格和投标文件的完整性、合法性等进行审查。</w:t>
      </w:r>
    </w:p>
    <w:p>
      <w:pPr>
        <w:snapToGrid w:val="0"/>
        <w:spacing w:line="400" w:lineRule="exact"/>
        <w:ind w:firstLine="413" w:firstLineChars="196"/>
        <w:rPr>
          <w:rFonts w:ascii="宋体" w:hAnsi="宋体" w:cs="宋体"/>
          <w:b/>
          <w:bCs/>
          <w:color w:val="auto"/>
          <w:szCs w:val="21"/>
        </w:rPr>
      </w:pPr>
      <w:r>
        <w:rPr>
          <w:rFonts w:hint="eastAsia" w:ascii="宋体" w:hAnsi="宋体" w:cs="宋体"/>
          <w:b/>
          <w:bCs/>
          <w:color w:val="auto"/>
          <w:szCs w:val="21"/>
        </w:rPr>
        <w:t>2.实质审查与比较</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（1）评标委员会审查投标文件的实质性内容是否符合招标文件的实质性要求。</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（3）各投标人的技术得分为所有评委的有效评分的算术平均数，由指定专人进行计算复核。</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（4）代理机构工作人员协助评标委员会根据本项目的评分标准计算各投标人的商务报价得分。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（5）评标委员会完成评标后,评委对各部分得分汇总,计算出本项目最终得分。评标委员会按评标原则推荐中标候选人同时起草评标报告。</w:t>
      </w:r>
    </w:p>
    <w:p>
      <w:pPr>
        <w:snapToGrid w:val="0"/>
        <w:spacing w:line="400" w:lineRule="exact"/>
        <w:ind w:firstLine="420" w:firstLineChars="200"/>
        <w:rPr>
          <w:rFonts w:ascii="宋体" w:hAnsi="宋体" w:cs="宋体"/>
          <w:b/>
          <w:color w:val="auto"/>
          <w:szCs w:val="21"/>
        </w:rPr>
      </w:pPr>
      <w:r>
        <w:rPr>
          <w:rFonts w:hint="eastAsia" w:ascii="宋体" w:hAnsi="宋体" w:cs="宋体"/>
          <w:color w:val="auto"/>
          <w:szCs w:val="21"/>
        </w:rPr>
        <w:t>（四）</w:t>
      </w:r>
      <w:r>
        <w:rPr>
          <w:rFonts w:hint="eastAsia" w:ascii="宋体" w:hAnsi="宋体" w:cs="宋体"/>
          <w:b/>
          <w:color w:val="auto"/>
          <w:szCs w:val="21"/>
        </w:rPr>
        <w:t>澄清问题的形式</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4"/>
        <w:snapToGrid w:val="0"/>
        <w:spacing w:line="380" w:lineRule="exact"/>
        <w:ind w:left="689" w:leftChars="228" w:hanging="210" w:hangingChars="100"/>
        <w:rPr>
          <w:rFonts w:hAnsi="宋体" w:cs="宋体"/>
          <w:b/>
          <w:color w:val="auto"/>
          <w:szCs w:val="21"/>
        </w:rPr>
      </w:pPr>
      <w:r>
        <w:rPr>
          <w:rFonts w:hint="eastAsia" w:hAnsi="宋体" w:cs="宋体"/>
          <w:color w:val="auto"/>
          <w:szCs w:val="21"/>
        </w:rPr>
        <w:t>（五）</w:t>
      </w:r>
      <w:r>
        <w:rPr>
          <w:rFonts w:hint="eastAsia" w:hAnsi="宋体" w:cs="宋体"/>
          <w:b/>
          <w:color w:val="auto"/>
          <w:szCs w:val="21"/>
        </w:rPr>
        <w:t>错误修正</w:t>
      </w:r>
    </w:p>
    <w:p>
      <w:pPr>
        <w:pStyle w:val="14"/>
        <w:snapToGrid w:val="0"/>
        <w:spacing w:line="380" w:lineRule="exact"/>
        <w:ind w:left="689" w:leftChars="228" w:hanging="210" w:hangingChars="100"/>
        <w:rPr>
          <w:rFonts w:hAnsi="宋体" w:cs="宋体"/>
          <w:color w:val="auto"/>
          <w:szCs w:val="21"/>
        </w:rPr>
      </w:pPr>
      <w:r>
        <w:rPr>
          <w:rFonts w:hint="eastAsia" w:hAnsi="宋体" w:cs="宋体"/>
          <w:color w:val="auto"/>
          <w:szCs w:val="21"/>
        </w:rPr>
        <w:t>投标文件如果出现计算或表达上的错误，修正错误的原则如下：</w:t>
      </w:r>
    </w:p>
    <w:p>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1.投标函总价与工程量清单报价汇总不一致的，以投标函为准；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2.投标文件的大写金额和小写金额不一致的，以大写金额为准；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3.总价金额与按单价汇总金额不一致的，以单价金额计算结果为准；</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4.对不同文字文本投标文件的解释发生异议的，以中文文本为准。</w:t>
      </w:r>
    </w:p>
    <w:p>
      <w:pPr>
        <w:pStyle w:val="14"/>
        <w:snapToGrid w:val="0"/>
        <w:spacing w:line="380" w:lineRule="exact"/>
        <w:ind w:firstLine="422" w:firstLineChars="200"/>
        <w:rPr>
          <w:rFonts w:hAnsi="宋体" w:cs="宋体"/>
          <w:b/>
          <w:bCs/>
          <w:color w:val="auto"/>
          <w:szCs w:val="21"/>
        </w:rPr>
      </w:pPr>
      <w:r>
        <w:rPr>
          <w:rFonts w:hint="eastAsia" w:hAnsi="宋体" w:cs="宋体"/>
          <w:b/>
          <w:bCs/>
          <w:color w:val="auto"/>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4"/>
        <w:tabs>
          <w:tab w:val="left" w:pos="630"/>
        </w:tabs>
        <w:snapToGrid w:val="0"/>
        <w:spacing w:line="380" w:lineRule="exact"/>
        <w:ind w:firstLine="413" w:firstLineChars="196"/>
        <w:rPr>
          <w:rFonts w:hAnsi="宋体" w:cs="宋体"/>
          <w:b/>
          <w:color w:val="auto"/>
          <w:szCs w:val="21"/>
        </w:rPr>
      </w:pPr>
      <w:r>
        <w:rPr>
          <w:rFonts w:hint="eastAsia" w:hAnsi="宋体" w:cs="宋体"/>
          <w:b/>
          <w:color w:val="auto"/>
          <w:szCs w:val="21"/>
        </w:rPr>
        <w:t>（六）评标原则和评标办法</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1.评标原则。评标委员会必须公平、公正、客观，不带任何倾向性和启发性</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不得向外界透露任何与评标有关的内容</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任何单位和个人不得干扰、影响评标的正常进行</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评标委员会及有关工作人员不得私下与投标人接触。</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2.评标办法。本项目评标办法是</w:t>
      </w:r>
      <w:r>
        <w:rPr>
          <w:rFonts w:hint="eastAsia" w:hAnsi="宋体" w:cs="宋体"/>
          <w:color w:val="auto"/>
          <w:szCs w:val="21"/>
          <w:u w:val="single"/>
        </w:rPr>
        <w:t>综合评估法</w:t>
      </w:r>
      <w:r>
        <w:rPr>
          <w:rFonts w:hint="eastAsia" w:hAnsi="宋体" w:cs="宋体"/>
          <w:color w:val="auto"/>
          <w:szCs w:val="21"/>
        </w:rPr>
        <w:t>，具体评标内容及评分标准等详见《第四章》。</w:t>
      </w:r>
    </w:p>
    <w:p>
      <w:pPr>
        <w:pStyle w:val="14"/>
        <w:snapToGrid w:val="0"/>
        <w:spacing w:line="380" w:lineRule="exact"/>
        <w:ind w:firstLine="413" w:firstLineChars="196"/>
        <w:rPr>
          <w:rFonts w:hAnsi="宋体" w:cs="宋体"/>
          <w:b/>
          <w:color w:val="auto"/>
          <w:szCs w:val="21"/>
        </w:rPr>
      </w:pPr>
      <w:r>
        <w:rPr>
          <w:rFonts w:hint="eastAsia" w:hAnsi="宋体" w:cs="宋体"/>
          <w:b/>
          <w:color w:val="auto"/>
          <w:szCs w:val="21"/>
        </w:rPr>
        <w:t>（七）评标过程的监控</w:t>
      </w:r>
    </w:p>
    <w:p>
      <w:pPr>
        <w:pStyle w:val="14"/>
        <w:snapToGrid w:val="0"/>
        <w:spacing w:line="380" w:lineRule="exact"/>
        <w:ind w:firstLine="420" w:firstLineChars="200"/>
        <w:rPr>
          <w:rFonts w:hAnsi="宋体" w:cs="宋体"/>
          <w:color w:val="auto"/>
          <w:szCs w:val="21"/>
        </w:rPr>
      </w:pPr>
      <w:r>
        <w:rPr>
          <w:rFonts w:hint="eastAsia" w:hAnsi="宋体" w:cs="宋体"/>
          <w:color w:val="auto"/>
          <w:szCs w:val="21"/>
        </w:rPr>
        <w:t>本项目评标过程实行全程录音、录像监控，投标人在评标过程中所进行的试图影响评标结果的不公正活动，可能导致其投标被拒绝。</w:t>
      </w:r>
    </w:p>
    <w:p>
      <w:pPr>
        <w:pStyle w:val="14"/>
        <w:snapToGrid w:val="0"/>
        <w:spacing w:line="380" w:lineRule="exact"/>
        <w:ind w:firstLine="413" w:firstLineChars="196"/>
        <w:jc w:val="center"/>
        <w:outlineLvl w:val="1"/>
        <w:rPr>
          <w:rFonts w:hAnsi="宋体" w:cs="宋体"/>
          <w:b/>
          <w:color w:val="auto"/>
          <w:szCs w:val="21"/>
        </w:rPr>
      </w:pPr>
      <w:bookmarkStart w:id="26" w:name="_Toc2259"/>
      <w:r>
        <w:rPr>
          <w:rFonts w:hint="eastAsia" w:hAnsi="宋体" w:cs="宋体"/>
          <w:b/>
          <w:color w:val="auto"/>
          <w:szCs w:val="21"/>
        </w:rPr>
        <w:t>六、定标</w:t>
      </w:r>
      <w:bookmarkEnd w:id="26"/>
    </w:p>
    <w:p>
      <w:pPr>
        <w:pStyle w:val="14"/>
        <w:spacing w:line="380" w:lineRule="exact"/>
        <w:ind w:firstLine="413" w:firstLineChars="196"/>
        <w:rPr>
          <w:rFonts w:hAnsi="宋体" w:cs="宋体"/>
          <w:b/>
          <w:color w:val="auto"/>
          <w:szCs w:val="21"/>
        </w:rPr>
      </w:pPr>
      <w:r>
        <w:rPr>
          <w:rFonts w:hint="eastAsia" w:hAnsi="宋体" w:cs="宋体"/>
          <w:b/>
          <w:color w:val="auto"/>
          <w:szCs w:val="21"/>
        </w:rPr>
        <w:t>（一）确定中标供应商</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1 ）采购人按照评标委员会推荐的中标候选供应商确定中标供应商。如发现中标供应商为本次采购项目采购人的附属机构（单位）的，取消其中标资格。</w:t>
      </w:r>
    </w:p>
    <w:p>
      <w:pPr>
        <w:pStyle w:val="11"/>
        <w:spacing w:line="320" w:lineRule="exact"/>
        <w:ind w:firstLineChars="200"/>
        <w:rPr>
          <w:rFonts w:ascii="宋体" w:hAnsi="宋体" w:cs="宋体"/>
          <w:bCs/>
          <w:color w:val="auto"/>
          <w:szCs w:val="21"/>
        </w:rPr>
      </w:pPr>
      <w:r>
        <w:rPr>
          <w:rFonts w:hint="eastAsia" w:ascii="宋体" w:hAnsi="宋体" w:cs="宋体"/>
          <w:bCs/>
          <w:color w:val="auto"/>
          <w:szCs w:val="21"/>
        </w:rPr>
        <w:t>2） 在三门县公共资源交易中心网（www.smztb.com）上发布中标公示，公示期</w:t>
      </w:r>
      <w:r>
        <w:rPr>
          <w:rFonts w:hint="eastAsia" w:ascii="宋体" w:hAnsi="宋体" w:cs="宋体"/>
          <w:color w:val="auto"/>
          <w:szCs w:val="21"/>
        </w:rPr>
        <w:t>不得少于3日（最后一天为工作日）。</w:t>
      </w:r>
    </w:p>
    <w:p>
      <w:pPr>
        <w:pStyle w:val="14"/>
        <w:spacing w:line="380" w:lineRule="exact"/>
        <w:ind w:firstLine="413" w:firstLineChars="196"/>
        <w:rPr>
          <w:rFonts w:hAnsi="宋体" w:cs="宋体"/>
          <w:b/>
          <w:color w:val="auto"/>
          <w:szCs w:val="21"/>
        </w:rPr>
      </w:pPr>
      <w:bookmarkStart w:id="27" w:name="_Toc177870543"/>
      <w:r>
        <w:rPr>
          <w:rFonts w:hint="eastAsia" w:hAnsi="宋体" w:cs="宋体"/>
          <w:b/>
          <w:color w:val="auto"/>
          <w:szCs w:val="21"/>
        </w:rPr>
        <w:t>（二）质疑</w:t>
      </w:r>
      <w:bookmarkEnd w:id="27"/>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1）投标人认为招标过程或中标结果使自己的合法权益受到损害的，可依法向采购人及采购代理机构提出质疑。</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2 ）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pPr>
        <w:snapToGrid w:val="0"/>
        <w:spacing w:line="380" w:lineRule="exact"/>
        <w:ind w:firstLine="420" w:firstLineChars="200"/>
        <w:rPr>
          <w:rFonts w:ascii="宋体" w:hAnsi="宋体" w:cs="宋体"/>
          <w:bCs/>
          <w:color w:val="auto"/>
          <w:szCs w:val="21"/>
        </w:rPr>
      </w:pPr>
      <w:r>
        <w:rPr>
          <w:rFonts w:hint="eastAsia" w:ascii="宋体" w:hAnsi="宋体" w:cs="宋体"/>
          <w:bCs/>
          <w:color w:val="auto"/>
          <w:szCs w:val="21"/>
        </w:rPr>
        <w:t>3 ）对中标结果的质疑应自中标公示之日起，七个工作日内提出。采购人在收到投标人的书面质疑七个工作日内审查质疑事项，作出答复或相关处理决定，并通知质疑投标人，答复的内容不得涉及商业秘密。</w:t>
      </w:r>
    </w:p>
    <w:p>
      <w:pPr>
        <w:pStyle w:val="14"/>
        <w:spacing w:line="380" w:lineRule="exact"/>
        <w:ind w:firstLine="413" w:firstLineChars="196"/>
        <w:rPr>
          <w:rFonts w:hAnsi="宋体" w:cs="宋体"/>
          <w:b/>
          <w:color w:val="auto"/>
          <w:szCs w:val="21"/>
        </w:rPr>
      </w:pPr>
      <w:r>
        <w:rPr>
          <w:rFonts w:hint="eastAsia" w:hAnsi="宋体" w:cs="宋体"/>
          <w:b/>
          <w:color w:val="auto"/>
          <w:szCs w:val="21"/>
        </w:rPr>
        <w:t>（三） 中标通知书</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1 ）公示期内无质疑的，期满后采购人向中标供应商发出书面中标通知书。</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14"/>
        <w:snapToGrid w:val="0"/>
        <w:spacing w:line="380" w:lineRule="exact"/>
        <w:ind w:firstLine="413" w:firstLineChars="196"/>
        <w:jc w:val="center"/>
        <w:outlineLvl w:val="1"/>
        <w:rPr>
          <w:rFonts w:hAnsi="宋体" w:cs="宋体"/>
          <w:b/>
          <w:color w:val="auto"/>
          <w:szCs w:val="21"/>
        </w:rPr>
      </w:pPr>
      <w:bookmarkStart w:id="28" w:name="_Toc24962"/>
      <w:r>
        <w:rPr>
          <w:rFonts w:hint="eastAsia" w:hAnsi="宋体" w:cs="宋体"/>
          <w:b/>
          <w:color w:val="auto"/>
          <w:szCs w:val="21"/>
        </w:rPr>
        <w:t>七、合同授予</w:t>
      </w:r>
      <w:bookmarkEnd w:id="28"/>
    </w:p>
    <w:p>
      <w:pPr>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（一）履约保证金</w:t>
      </w:r>
    </w:p>
    <w:p>
      <w:pPr>
        <w:snapToGrid w:val="0"/>
        <w:spacing w:line="380" w:lineRule="exact"/>
        <w:ind w:firstLine="738" w:firstLineChars="350"/>
        <w:rPr>
          <w:rFonts w:ascii="宋体" w:hAnsi="宋体" w:cs="宋体"/>
          <w:b/>
          <w:color w:val="auto"/>
          <w:kern w:val="0"/>
          <w:szCs w:val="21"/>
        </w:rPr>
      </w:pPr>
      <w:r>
        <w:rPr>
          <w:rFonts w:hint="eastAsia" w:ascii="宋体" w:hAnsi="宋体" w:cs="宋体"/>
          <w:b/>
          <w:color w:val="auto"/>
          <w:szCs w:val="21"/>
        </w:rPr>
        <w:t>1 ）</w:t>
      </w:r>
      <w:r>
        <w:rPr>
          <w:rFonts w:hint="eastAsia" w:ascii="宋体" w:hAnsi="宋体" w:cs="宋体"/>
          <w:b/>
          <w:color w:val="auto"/>
          <w:kern w:val="0"/>
          <w:szCs w:val="21"/>
        </w:rPr>
        <w:t>供应商向采购方预留合同总价的</w:t>
      </w:r>
      <w:r>
        <w:rPr>
          <w:rFonts w:hint="eastAsia" w:ascii="宋体" w:hAnsi="宋体" w:cs="宋体"/>
          <w:b/>
          <w:color w:val="auto"/>
          <w:kern w:val="0"/>
          <w:szCs w:val="21"/>
          <w:lang w:val="en-US" w:eastAsia="zh-CN"/>
        </w:rPr>
        <w:t>1.5</w:t>
      </w:r>
      <w:r>
        <w:rPr>
          <w:rFonts w:hint="eastAsia" w:ascii="宋体" w:hAnsi="宋体" w:cs="宋体"/>
          <w:b/>
          <w:color w:val="auto"/>
          <w:kern w:val="0"/>
          <w:szCs w:val="21"/>
        </w:rPr>
        <w:t>%作为履约保证金。</w:t>
      </w:r>
    </w:p>
    <w:p>
      <w:pPr>
        <w:snapToGrid w:val="0"/>
        <w:spacing w:line="380" w:lineRule="exact"/>
        <w:ind w:firstLine="738" w:firstLineChars="350"/>
        <w:rPr>
          <w:rFonts w:ascii="宋体" w:hAnsi="宋体" w:cs="宋体"/>
          <w:b/>
          <w:color w:val="auto"/>
          <w:szCs w:val="21"/>
        </w:rPr>
      </w:pPr>
      <w:r>
        <w:rPr>
          <w:rFonts w:hint="eastAsia" w:ascii="宋体" w:hAnsi="宋体" w:cs="宋体"/>
          <w:b/>
          <w:color w:val="auto"/>
          <w:szCs w:val="21"/>
        </w:rPr>
        <w:t>2 ）签订合同后，如中标供应商不按合同约定履约的，履约保证金不予退还，履约保证金不足以赔偿损失的，按实际损失赔偿。</w:t>
      </w:r>
    </w:p>
    <w:p>
      <w:pPr>
        <w:snapToGrid w:val="0"/>
        <w:spacing w:line="380" w:lineRule="exact"/>
        <w:ind w:firstLine="738" w:firstLineChars="350"/>
        <w:rPr>
          <w:rFonts w:ascii="宋体" w:hAnsi="宋体" w:cs="宋体"/>
          <w:b/>
          <w:color w:val="auto"/>
          <w:szCs w:val="21"/>
        </w:rPr>
      </w:pPr>
      <w:r>
        <w:rPr>
          <w:rFonts w:hint="eastAsia" w:ascii="宋体" w:hAnsi="宋体" w:cs="宋体"/>
          <w:b/>
          <w:color w:val="auto"/>
          <w:szCs w:val="21"/>
        </w:rPr>
        <w:t>3 ）履约保证金在车辆验收合格后十个工作日内退还（不计息）。</w:t>
      </w:r>
    </w:p>
    <w:p>
      <w:pPr>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（二）签订合同</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1 ）中标供应商在交纳履约保证金的后与中标方签订合同。</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2 ）中标供应商拖延、拒签合同的, 取消中标资格，不予退还投标保证金。</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3 ）采购人无正当理由拒签合同的，采购人应向中标供应商双倍支付投标保证金。</w:t>
      </w:r>
    </w:p>
    <w:p>
      <w:pPr>
        <w:snapToGrid w:val="0"/>
        <w:spacing w:line="380" w:lineRule="exact"/>
        <w:ind w:firstLine="735" w:firstLineChars="350"/>
        <w:rPr>
          <w:rFonts w:ascii="宋体" w:hAnsi="宋体" w:cs="宋体"/>
          <w:bCs/>
          <w:color w:val="auto"/>
          <w:szCs w:val="21"/>
        </w:rPr>
      </w:pPr>
      <w:r>
        <w:rPr>
          <w:rFonts w:hint="eastAsia" w:ascii="宋体" w:hAnsi="宋体" w:cs="宋体"/>
          <w:bCs/>
          <w:color w:val="auto"/>
          <w:szCs w:val="21"/>
        </w:rPr>
        <w:t>4） 招标文件、中标供应商的投标文件及评标过程中有关澄清文件等均作为签订合同的依据。所签订的合同不得对招标文件和中标供应商的投标文件的内容作实质性修改。</w:t>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rPr>
      </w:pPr>
      <w:r>
        <w:rPr>
          <w:rFonts w:hint="eastAsia" w:asciiTheme="minorEastAsia" w:hAnsiTheme="minorEastAsia" w:eastAsiaTheme="minorEastAsia"/>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宋体"/>
          <w:bCs/>
          <w:color w:val="auto"/>
          <w:sz w:val="24"/>
          <w:lang w:val="zh-CN"/>
        </w:rPr>
      </w:pPr>
      <w:r>
        <w:rPr>
          <w:rFonts w:hint="eastAsia" w:asciiTheme="minorEastAsia" w:hAnsiTheme="minorEastAsia" w:eastAsiaTheme="minorEastAsia"/>
          <w:color w:val="auto"/>
          <w:kern w:val="0"/>
          <w:sz w:val="24"/>
        </w:rPr>
        <w:t>二、本次招标项目的评标方法为综合评分法，总计100分</w:t>
      </w:r>
      <w:r>
        <w:rPr>
          <w:rFonts w:hint="eastAsia" w:ascii="宋体"/>
          <w:bCs/>
          <w:color w:val="auto"/>
          <w:sz w:val="24"/>
          <w:lang w:val="zh-CN"/>
        </w:rPr>
        <w:t>(资信技术文件为</w:t>
      </w:r>
      <w:r>
        <w:rPr>
          <w:rFonts w:hint="eastAsia" w:ascii="宋体"/>
          <w:bCs/>
          <w:color w:val="auto"/>
          <w:sz w:val="24"/>
        </w:rPr>
        <w:t>70</w:t>
      </w:r>
      <w:r>
        <w:rPr>
          <w:rFonts w:hint="eastAsia" w:ascii="宋体"/>
          <w:bCs/>
          <w:color w:val="auto"/>
          <w:sz w:val="24"/>
          <w:lang w:val="zh-CN"/>
        </w:rPr>
        <w:t>分，商务报价文件为</w:t>
      </w:r>
      <w:r>
        <w:rPr>
          <w:rFonts w:hint="eastAsia" w:ascii="宋体"/>
          <w:bCs/>
          <w:color w:val="auto"/>
          <w:sz w:val="24"/>
        </w:rPr>
        <w:t>30</w:t>
      </w:r>
      <w:r>
        <w:rPr>
          <w:rFonts w:hint="eastAsia" w:ascii="宋体"/>
          <w:bCs/>
          <w:color w:val="auto"/>
          <w:sz w:val="24"/>
          <w:lang w:val="zh-CN"/>
        </w:rPr>
        <w:t>分)</w:t>
      </w:r>
      <w:r>
        <w:rPr>
          <w:rFonts w:hint="eastAsia" w:asciiTheme="minorEastAsia" w:hAnsiTheme="minorEastAsia" w:eastAsiaTheme="minorEastAsia"/>
          <w:color w:val="auto"/>
          <w:kern w:val="0"/>
          <w:sz w:val="24"/>
        </w:rPr>
        <w:t>。</w:t>
      </w:r>
      <w:r>
        <w:rPr>
          <w:rFonts w:hint="eastAsia" w:ascii="宋体"/>
          <w:bCs/>
          <w:color w:val="auto"/>
          <w:sz w:val="24"/>
          <w:lang w:val="zh-CN"/>
        </w:rPr>
        <w:t>各投标人的综合得分为其资信技术文件得分与商务报价文件得分之和，即综合得分=资信技术文件得分+商务报价文件得分。</w:t>
      </w:r>
    </w:p>
    <w:p>
      <w:p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（一）资信技术文件中的客观分由评标委员会讨论后统一打分；其余在规定的分值内单独评定打分（</w:t>
      </w:r>
      <w:r>
        <w:rPr>
          <w:rFonts w:hint="eastAsia" w:ascii="宋体"/>
          <w:color w:val="auto"/>
          <w:sz w:val="24"/>
          <w:lang w:val="zh-CN"/>
        </w:rPr>
        <w:t>小数点后保留</w:t>
      </w:r>
      <w:r>
        <w:rPr>
          <w:rFonts w:hint="eastAsia" w:ascii="宋体"/>
          <w:color w:val="auto"/>
          <w:sz w:val="24"/>
        </w:rPr>
        <w:t>2</w:t>
      </w:r>
      <w:r>
        <w:rPr>
          <w:rFonts w:hint="eastAsia" w:ascii="宋体"/>
          <w:color w:val="auto"/>
          <w:sz w:val="24"/>
          <w:lang w:val="zh-CN"/>
        </w:rPr>
        <w:t>位，第2位四舍五入）</w:t>
      </w:r>
      <w:r>
        <w:rPr>
          <w:rFonts w:hint="eastAsia" w:ascii="宋体"/>
          <w:bCs/>
          <w:color w:val="auto"/>
          <w:sz w:val="24"/>
          <w:lang w:val="zh-CN"/>
        </w:rPr>
        <w:t>。</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（二）各投标人资信技术文件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w:t>
      </w:r>
      <w:r>
        <w:rPr>
          <w:rFonts w:hint="eastAsia" w:ascii="宋体"/>
          <w:color w:val="auto"/>
          <w:sz w:val="24"/>
          <w:lang w:val="zh-CN"/>
        </w:rPr>
        <w:t>小数点后保留2位，第3位四舍五入）</w:t>
      </w:r>
      <w:r>
        <w:rPr>
          <w:rFonts w:hint="eastAsia" w:ascii="宋体"/>
          <w:bCs/>
          <w:color w:val="auto"/>
          <w:sz w:val="24"/>
          <w:lang w:val="zh-CN"/>
        </w:rPr>
        <w:t>，计算公式为：</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资信技术文件得分</w:t>
      </w:r>
      <w:r>
        <w:rPr>
          <w:rFonts w:hint="eastAsia" w:ascii="宋体"/>
          <w:bCs/>
          <w:color w:val="auto"/>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color w:val="auto"/>
          <w:sz w:val="24"/>
          <w:lang w:val="zh-CN"/>
        </w:rPr>
        <w:t>（</w:t>
      </w:r>
      <w:r>
        <w:rPr>
          <w:rFonts w:hint="eastAsia" w:ascii="宋体"/>
          <w:color w:val="auto"/>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分=(评标基准价／投</w:t>
      </w:r>
      <w:r>
        <w:rPr>
          <w:rFonts w:ascii="宋体" w:hAnsi="宋体"/>
          <w:color w:val="auto"/>
          <w:sz w:val="24"/>
          <w:u w:val="single"/>
        </w:rPr>
        <w:t>标报价)×</w:t>
      </w:r>
      <w:r>
        <w:rPr>
          <w:rFonts w:hint="eastAsia" w:ascii="宋体" w:hAnsi="宋体"/>
          <w:color w:val="auto"/>
          <w:sz w:val="24"/>
          <w:u w:val="single"/>
        </w:rPr>
        <w:t>30%</w:t>
      </w:r>
      <w:r>
        <w:rPr>
          <w:rFonts w:ascii="宋体" w:hAnsi="宋体"/>
          <w:color w:val="auto"/>
          <w:sz w:val="24"/>
          <w:u w:val="single"/>
        </w:rPr>
        <w:t>×100</w:t>
      </w:r>
      <w:r>
        <w:rPr>
          <w:rFonts w:hint="eastAsia" w:ascii="宋体" w:hAnsi="宋体"/>
          <w:color w:val="auto"/>
          <w:sz w:val="24"/>
          <w:u w:val="single"/>
        </w:rPr>
        <w:t>。</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color w:val="auto"/>
          <w:sz w:val="24"/>
          <w:lang w:val="zh-CN"/>
        </w:rPr>
        <w:t>注：得分以系统计算为准，保留2位小数。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三、在最大限度地满足招标文件实质性要求前提下，评标委员会按照招标文件中规定的各项因素进行综合评审后，以评标总得分排名第一的投标人为</w:t>
      </w:r>
      <w:r>
        <w:rPr>
          <w:rFonts w:hint="eastAsia" w:ascii="宋体"/>
          <w:color w:val="auto"/>
          <w:kern w:val="0"/>
          <w:sz w:val="24"/>
          <w:lang w:val="zh-CN"/>
        </w:rPr>
        <w:t>第一中标候选人。</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四、如综合得分相同，投标报价低者为先；如综合得分且投标报价相同的，以资信部分得分较高者为先。</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六、</w:t>
      </w:r>
      <w:r>
        <w:rPr>
          <w:rFonts w:hint="eastAsia" w:ascii="宋体" w:eastAsiaTheme="minorEastAsia"/>
          <w:bCs/>
          <w:color w:val="auto"/>
          <w:sz w:val="24"/>
        </w:rPr>
        <w:t>资信技术文件</w:t>
      </w:r>
      <w:r>
        <w:rPr>
          <w:rFonts w:hint="eastAsia" w:ascii="宋体"/>
          <w:bCs/>
          <w:color w:val="auto"/>
          <w:sz w:val="24"/>
          <w:lang w:val="zh-CN"/>
        </w:rPr>
        <w:t>评审内容及标准</w:t>
      </w:r>
      <w:r>
        <w:rPr>
          <w:rFonts w:hint="eastAsia" w:ascii="宋体"/>
          <w:bCs/>
          <w:color w:val="auto"/>
          <w:sz w:val="24"/>
        </w:rPr>
        <w:t>(</w:t>
      </w:r>
      <w:r>
        <w:rPr>
          <w:rFonts w:hint="eastAsia" w:ascii="宋体"/>
          <w:bCs/>
          <w:color w:val="auto"/>
          <w:sz w:val="24"/>
          <w:lang w:val="zh-CN"/>
        </w:rPr>
        <w:t>资信技术文件分值为</w:t>
      </w:r>
      <w:r>
        <w:rPr>
          <w:rFonts w:hint="eastAsia" w:ascii="宋体"/>
          <w:bCs/>
          <w:color w:val="auto"/>
          <w:sz w:val="24"/>
        </w:rPr>
        <w:t>70</w:t>
      </w:r>
      <w:r>
        <w:rPr>
          <w:rFonts w:hint="eastAsia" w:ascii="宋体"/>
          <w:bCs/>
          <w:color w:val="auto"/>
          <w:sz w:val="24"/>
          <w:lang w:val="zh-CN"/>
        </w:rPr>
        <w:t>分</w:t>
      </w:r>
      <w:r>
        <w:rPr>
          <w:rFonts w:hint="eastAsia" w:ascii="宋体"/>
          <w:bCs/>
          <w:color w:val="auto"/>
          <w:sz w:val="24"/>
        </w:rPr>
        <w:t>)</w:t>
      </w:r>
      <w:r>
        <w:rPr>
          <w:rFonts w:hint="eastAsia" w:asciiTheme="minorEastAsia" w:hAnsiTheme="minorEastAsia" w:eastAsiaTheme="minorEastAsia"/>
          <w:color w:val="auto"/>
          <w:kern w:val="0"/>
          <w:sz w:val="24"/>
        </w:rPr>
        <w:t xml:space="preserve">： </w:t>
      </w:r>
    </w:p>
    <w:p>
      <w:pPr>
        <w:autoSpaceDE w:val="0"/>
        <w:autoSpaceDN w:val="0"/>
        <w:adjustRightInd w:val="0"/>
        <w:spacing w:line="360" w:lineRule="auto"/>
        <w:ind w:firstLine="360" w:firstLineChars="15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br w:type="page"/>
      </w:r>
    </w:p>
    <w:tbl>
      <w:tblPr>
        <w:tblStyle w:val="29"/>
        <w:tblW w:w="11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08"/>
        <w:gridCol w:w="783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0" w:type="dxa"/>
            <w:noWrap/>
            <w:vAlign w:val="center"/>
          </w:tcPr>
          <w:p>
            <w:pPr>
              <w:adjustRightInd w:val="0"/>
              <w:spacing w:line="400" w:lineRule="exact"/>
              <w:jc w:val="center"/>
              <w:textAlignment w:val="baseline"/>
              <w:rPr>
                <w:rFonts w:ascii="宋体"/>
                <w:b/>
                <w:szCs w:val="21"/>
              </w:rPr>
            </w:pPr>
            <w:r>
              <w:rPr>
                <w:rFonts w:hint="eastAsia" w:ascii="宋体"/>
                <w:b/>
                <w:szCs w:val="21"/>
              </w:rPr>
              <w:t>序号</w:t>
            </w:r>
          </w:p>
        </w:tc>
        <w:tc>
          <w:tcPr>
            <w:tcW w:w="1308" w:type="dxa"/>
            <w:noWrap/>
            <w:vAlign w:val="center"/>
          </w:tcPr>
          <w:p>
            <w:pPr>
              <w:adjustRightInd w:val="0"/>
              <w:spacing w:line="400" w:lineRule="exact"/>
              <w:jc w:val="center"/>
              <w:textAlignment w:val="baseline"/>
              <w:rPr>
                <w:rFonts w:ascii="宋体"/>
                <w:b/>
                <w:szCs w:val="21"/>
              </w:rPr>
            </w:pPr>
            <w:r>
              <w:rPr>
                <w:rFonts w:hint="eastAsia" w:ascii="宋体"/>
                <w:b/>
                <w:szCs w:val="21"/>
              </w:rPr>
              <w:t>评分项目</w:t>
            </w:r>
          </w:p>
        </w:tc>
        <w:tc>
          <w:tcPr>
            <w:tcW w:w="7835" w:type="dxa"/>
            <w:noWrap/>
            <w:vAlign w:val="center"/>
          </w:tcPr>
          <w:p>
            <w:pPr>
              <w:adjustRightInd w:val="0"/>
              <w:spacing w:line="400" w:lineRule="exact"/>
              <w:jc w:val="center"/>
              <w:textAlignment w:val="baseline"/>
              <w:rPr>
                <w:rFonts w:ascii="宋体"/>
                <w:b/>
                <w:szCs w:val="21"/>
              </w:rPr>
            </w:pPr>
            <w:r>
              <w:rPr>
                <w:rFonts w:hint="eastAsia" w:ascii="宋体"/>
                <w:b/>
                <w:szCs w:val="21"/>
              </w:rPr>
              <w:t>评分细则</w:t>
            </w:r>
          </w:p>
        </w:tc>
        <w:tc>
          <w:tcPr>
            <w:tcW w:w="1232" w:type="dxa"/>
            <w:noWrap/>
            <w:vAlign w:val="center"/>
          </w:tcPr>
          <w:p>
            <w:pPr>
              <w:adjustRightInd w:val="0"/>
              <w:spacing w:line="400" w:lineRule="exact"/>
              <w:jc w:val="center"/>
              <w:textAlignment w:val="baseline"/>
              <w:rPr>
                <w:rFonts w:ascii="宋体"/>
                <w:b/>
                <w:szCs w:val="21"/>
              </w:rPr>
            </w:pPr>
            <w:r>
              <w:rPr>
                <w:rFonts w:hint="eastAsia" w:asci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1</w:t>
            </w:r>
          </w:p>
        </w:tc>
        <w:tc>
          <w:tcPr>
            <w:tcW w:w="1308" w:type="dxa"/>
            <w:noWrap/>
            <w:vAlign w:val="center"/>
          </w:tcPr>
          <w:p>
            <w:pPr>
              <w:adjustRightInd w:val="0"/>
              <w:snapToGrid w:val="0"/>
              <w:jc w:val="center"/>
            </w:pPr>
            <w:r>
              <w:rPr>
                <w:rFonts w:hint="eastAsia" w:ascii="宋体" w:hAnsi="宋体" w:eastAsia="宋体" w:cs="宋体"/>
                <w:color w:val="000000"/>
                <w:sz w:val="21"/>
                <w:szCs w:val="21"/>
              </w:rPr>
              <w:t>设备参数</w:t>
            </w:r>
          </w:p>
        </w:tc>
        <w:tc>
          <w:tcPr>
            <w:tcW w:w="7835" w:type="dxa"/>
            <w:noWrap/>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根据技术参数偏离表及各投标方所投设备性能及技术指标、相关证书的真实响应评分。</w:t>
            </w:r>
          </w:p>
          <w:p>
            <w:pPr>
              <w:rPr>
                <w:rFonts w:ascii="宋体"/>
                <w:szCs w:val="21"/>
              </w:rPr>
            </w:pPr>
            <w:r>
              <w:rPr>
                <w:rFonts w:hint="eastAsia" w:ascii="宋体" w:hAnsi="宋体" w:eastAsia="宋体" w:cs="宋体"/>
                <w:bCs/>
                <w:color w:val="000000"/>
                <w:sz w:val="21"/>
                <w:szCs w:val="21"/>
              </w:rPr>
              <w:t>设备性能及技术指标全部满足招标技术参数，得</w:t>
            </w:r>
            <w:r>
              <w:rPr>
                <w:rFonts w:hint="eastAsia" w:ascii="宋体" w:hAnsi="宋体" w:eastAsia="宋体" w:cs="宋体"/>
                <w:bCs/>
                <w:color w:val="000000"/>
                <w:sz w:val="21"/>
                <w:szCs w:val="21"/>
                <w:lang w:val="en-US" w:eastAsia="zh-CN"/>
              </w:rPr>
              <w:t>20</w:t>
            </w:r>
            <w:r>
              <w:rPr>
                <w:rFonts w:hint="eastAsia" w:ascii="宋体" w:hAnsi="宋体" w:eastAsia="宋体" w:cs="宋体"/>
                <w:bCs/>
                <w:color w:val="000000"/>
                <w:sz w:val="21"/>
                <w:szCs w:val="21"/>
              </w:rPr>
              <w:t>分；</w:t>
            </w:r>
            <w:r>
              <w:rPr>
                <w:rFonts w:hint="eastAsia" w:ascii="宋体" w:hAnsi="宋体" w:eastAsia="宋体" w:cs="宋体"/>
                <w:color w:val="auto"/>
                <w:sz w:val="21"/>
                <w:szCs w:val="21"/>
              </w:rPr>
              <w:t>每有一项不响应或负偏离的扣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分，扣完为止（正偏离不扣分）。</w:t>
            </w:r>
          </w:p>
        </w:tc>
        <w:tc>
          <w:tcPr>
            <w:tcW w:w="1232" w:type="dxa"/>
            <w:noWrap/>
            <w:vAlign w:val="center"/>
          </w:tcPr>
          <w:p>
            <w:pPr>
              <w:adjustRightInd w:val="0"/>
              <w:snapToGrid w:val="0"/>
              <w:jc w:val="center"/>
              <w:rPr>
                <w:rFonts w:ascii="宋体"/>
                <w:szCs w:val="21"/>
              </w:rPr>
            </w:pPr>
            <w:r>
              <w:rPr>
                <w:rFonts w:hint="eastAsia" w:ascii="宋体" w:hAnsi="宋体" w:eastAsia="宋体" w:cs="宋体"/>
                <w:color w:val="000000"/>
                <w:sz w:val="21"/>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2</w:t>
            </w:r>
          </w:p>
        </w:tc>
        <w:tc>
          <w:tcPr>
            <w:tcW w:w="1308" w:type="dxa"/>
            <w:noWrap/>
            <w:vAlign w:val="center"/>
          </w:tcPr>
          <w:p>
            <w:pPr>
              <w:jc w:val="center"/>
              <w:rPr>
                <w:rFonts w:hint="default" w:eastAsia="宋体"/>
                <w:szCs w:val="21"/>
                <w:lang w:val="en-US" w:eastAsia="zh-CN"/>
              </w:rPr>
            </w:pPr>
            <w:r>
              <w:rPr>
                <w:rFonts w:hint="eastAsia" w:ascii="宋体" w:hAnsi="宋体" w:eastAsia="宋体" w:cs="宋体"/>
                <w:color w:val="000000"/>
                <w:sz w:val="21"/>
                <w:szCs w:val="21"/>
              </w:rPr>
              <w:t>投标设备配置合理性和先进性</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根据投标设备主要部件配置、性能综合评分。</w:t>
            </w:r>
          </w:p>
          <w:p>
            <w:pPr>
              <w:keepNext w:val="0"/>
              <w:keepLines w:val="0"/>
              <w:pageBreakBefore w:val="0"/>
              <w:widowControl w:val="0"/>
              <w:kinsoku/>
              <w:wordWrap/>
              <w:overflowPunct/>
              <w:topLinePunct w:val="0"/>
              <w:bidi w:val="0"/>
              <w:spacing w:line="300" w:lineRule="exact"/>
              <w:textAlignment w:val="auto"/>
              <w:rPr>
                <w:szCs w:val="21"/>
              </w:rPr>
            </w:pPr>
            <w:r>
              <w:rPr>
                <w:rFonts w:hint="eastAsia" w:ascii="宋体" w:hAnsi="宋体" w:eastAsia="宋体" w:cs="宋体"/>
                <w:color w:val="000000"/>
                <w:sz w:val="21"/>
                <w:szCs w:val="21"/>
              </w:rPr>
              <w:t>投标设备配置先进，性能优，得</w:t>
            </w:r>
            <w:r>
              <w:rPr>
                <w:rFonts w:hint="eastAsia" w:ascii="宋体" w:hAnsi="宋体" w:cs="宋体"/>
                <w:color w:val="000000"/>
                <w:sz w:val="21"/>
                <w:szCs w:val="21"/>
                <w:lang w:val="en-US" w:eastAsia="zh-CN"/>
              </w:rPr>
              <w:t>10</w:t>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；投标设备配置较先进，性能较好，满足招标技术参数，得</w:t>
            </w:r>
            <w:r>
              <w:rPr>
                <w:rFonts w:hint="eastAsia" w:ascii="宋体" w:hAnsi="宋体" w:cs="宋体"/>
                <w:color w:val="000000"/>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；投标设备配置一般，性能一般，基本招标技术参数，得</w:t>
            </w:r>
            <w:r>
              <w:rPr>
                <w:rFonts w:hint="eastAsia" w:ascii="宋体" w:hAnsi="宋体" w:cs="宋体"/>
                <w:color w:val="000000"/>
                <w:sz w:val="21"/>
                <w:szCs w:val="21"/>
                <w:lang w:val="en-US" w:eastAsia="zh-CN"/>
              </w:rPr>
              <w:t>5</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000000"/>
                <w:sz w:val="21"/>
                <w:szCs w:val="21"/>
              </w:rPr>
              <w:t>；投标设备配置较差，基本招标技术参数，得</w:t>
            </w:r>
            <w:r>
              <w:rPr>
                <w:rFonts w:hint="eastAsia" w:ascii="宋体" w:hAnsi="宋体" w:eastAsia="宋体" w:cs="宋体"/>
                <w:color w:val="000000"/>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r>
              <w:rPr>
                <w:rFonts w:hint="eastAsia" w:ascii="宋体" w:hAnsi="宋体" w:eastAsia="宋体" w:cs="宋体"/>
                <w:color w:val="000000"/>
                <w:sz w:val="21"/>
                <w:szCs w:val="21"/>
              </w:rPr>
              <w:t>。</w:t>
            </w:r>
          </w:p>
        </w:tc>
        <w:tc>
          <w:tcPr>
            <w:tcW w:w="1232" w:type="dxa"/>
            <w:noWrap/>
            <w:vAlign w:val="center"/>
          </w:tcPr>
          <w:p>
            <w:pPr>
              <w:adjustRightInd w:val="0"/>
              <w:snapToGrid w:val="0"/>
              <w:jc w:val="center"/>
              <w:rPr>
                <w:rFonts w:hint="default"/>
                <w:szCs w:val="21"/>
                <w:lang w:val="en-US"/>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eastAsia="zh-CN"/>
              </w:rPr>
            </w:pPr>
            <w:r>
              <w:rPr>
                <w:rFonts w:hint="eastAsia" w:ascii="宋体"/>
                <w:b/>
                <w:szCs w:val="21"/>
                <w:lang w:val="en-US" w:eastAsia="zh-CN"/>
              </w:rPr>
              <w:t>3</w:t>
            </w:r>
          </w:p>
        </w:tc>
        <w:tc>
          <w:tcPr>
            <w:tcW w:w="1308" w:type="dxa"/>
            <w:noWrap/>
            <w:vAlign w:val="center"/>
          </w:tcPr>
          <w:p>
            <w:pPr>
              <w:jc w:val="center"/>
              <w:rPr>
                <w:rFonts w:hint="eastAsia" w:eastAsia="宋体"/>
                <w:szCs w:val="21"/>
                <w:lang w:eastAsia="zh-CN"/>
              </w:rPr>
            </w:pPr>
            <w:r>
              <w:rPr>
                <w:rFonts w:hint="eastAsia" w:ascii="宋体" w:hAnsi="宋体" w:eastAsia="宋体" w:cs="宋体"/>
                <w:color w:val="000000"/>
                <w:sz w:val="21"/>
                <w:szCs w:val="21"/>
              </w:rPr>
              <w:t>投标设备的环保性</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根据环保设备的配置和环保排放、噪音等响应情况打分。</w:t>
            </w:r>
          </w:p>
          <w:p>
            <w:pPr>
              <w:keepNext w:val="0"/>
              <w:keepLines w:val="0"/>
              <w:pageBreakBefore w:val="0"/>
              <w:widowControl w:val="0"/>
              <w:kinsoku/>
              <w:wordWrap/>
              <w:overflowPunct/>
              <w:topLinePunct w:val="0"/>
              <w:bidi w:val="0"/>
              <w:spacing w:line="300" w:lineRule="exact"/>
              <w:textAlignment w:val="auto"/>
              <w:rPr>
                <w:szCs w:val="21"/>
              </w:rPr>
            </w:pPr>
            <w:r>
              <w:rPr>
                <w:rFonts w:hint="eastAsia" w:ascii="宋体" w:hAnsi="宋体" w:eastAsia="宋体" w:cs="宋体"/>
                <w:color w:val="000000"/>
                <w:sz w:val="21"/>
                <w:szCs w:val="21"/>
              </w:rPr>
              <w:t>环保设备的配置和环保排放、噪音等响应情况优于其他投标单位的，得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分；综合比较排名第二名得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分，以此递交</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分，扣完为主。</w:t>
            </w:r>
          </w:p>
        </w:tc>
        <w:tc>
          <w:tcPr>
            <w:tcW w:w="1232" w:type="dxa"/>
            <w:noWrap/>
            <w:vAlign w:val="center"/>
          </w:tcPr>
          <w:p>
            <w:pPr>
              <w:adjustRightInd w:val="0"/>
              <w:snapToGrid w:val="0"/>
              <w:jc w:val="center"/>
              <w:rPr>
                <w:rFonts w:hint="eastAsia" w:ascii="宋体" w:eastAsia="宋体"/>
                <w:szCs w:val="21"/>
                <w:lang w:eastAsia="zh-CN"/>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b/>
                <w:szCs w:val="21"/>
                <w:lang w:val="en-US" w:eastAsia="zh-CN"/>
              </w:rPr>
            </w:pPr>
            <w:r>
              <w:rPr>
                <w:rFonts w:hint="eastAsia" w:ascii="宋体"/>
                <w:b/>
                <w:szCs w:val="21"/>
                <w:lang w:val="en-US" w:eastAsia="zh-CN"/>
              </w:rPr>
              <w:t>4</w:t>
            </w:r>
          </w:p>
        </w:tc>
        <w:tc>
          <w:tcPr>
            <w:tcW w:w="1308"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项目业绩</w:t>
            </w:r>
          </w:p>
        </w:tc>
        <w:tc>
          <w:tcPr>
            <w:tcW w:w="7835" w:type="dxa"/>
            <w:noWrap/>
            <w:vAlign w:val="center"/>
          </w:tcPr>
          <w:p>
            <w:pPr>
              <w:keepNext w:val="0"/>
              <w:keepLines w:val="0"/>
              <w:pageBreakBefore w:val="0"/>
              <w:widowControl w:val="0"/>
              <w:kinsoku/>
              <w:wordWrap/>
              <w:overflowPunct/>
              <w:topLinePunct w:val="0"/>
              <w:bidi w:val="0"/>
              <w:adjustRightInd w:val="0"/>
              <w:snapToGrid w:val="0"/>
              <w:spacing w:line="3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月1日（以合同签订时间为准）以来，同类项目业绩，每</w:t>
            </w:r>
            <w:r>
              <w:rPr>
                <w:rFonts w:hint="eastAsia" w:ascii="宋体" w:hAnsi="宋体" w:eastAsia="宋体" w:cs="宋体"/>
                <w:color w:val="000000"/>
                <w:sz w:val="21"/>
                <w:szCs w:val="21"/>
                <w:lang w:eastAsia="zh-CN"/>
              </w:rPr>
              <w:t>提供</w:t>
            </w:r>
            <w:r>
              <w:rPr>
                <w:rFonts w:hint="eastAsia" w:ascii="宋体" w:hAnsi="宋体" w:eastAsia="宋体" w:cs="宋体"/>
                <w:color w:val="000000"/>
                <w:sz w:val="21"/>
                <w:szCs w:val="21"/>
                <w:lang w:val="en-US" w:eastAsia="zh-CN"/>
              </w:rPr>
              <w:t>1 个合同</w:t>
            </w:r>
            <w:r>
              <w:rPr>
                <w:rFonts w:hint="eastAsia" w:ascii="宋体" w:hAnsi="宋体" w:eastAsia="宋体" w:cs="宋体"/>
                <w:color w:val="000000"/>
                <w:sz w:val="21"/>
                <w:szCs w:val="21"/>
              </w:rPr>
              <w:t xml:space="preserve">得 1 分，最高得 </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分（提供合同扫描件加盖厂家公章、发票扫描件加盖厂家公章，</w:t>
            </w:r>
            <w:r>
              <w:rPr>
                <w:rFonts w:hint="eastAsia" w:ascii="宋体" w:hAnsi="宋体" w:eastAsia="宋体" w:cs="宋体"/>
                <w:color w:val="000000"/>
                <w:sz w:val="21"/>
                <w:szCs w:val="21"/>
                <w:lang w:eastAsia="zh-CN"/>
              </w:rPr>
              <w:t>发票需在本次招标公告前开取的</w:t>
            </w:r>
            <w:r>
              <w:rPr>
                <w:rFonts w:hint="eastAsia" w:ascii="宋体" w:hAnsi="宋体" w:eastAsia="宋体" w:cs="宋体"/>
                <w:color w:val="000000"/>
                <w:sz w:val="21"/>
                <w:szCs w:val="21"/>
              </w:rPr>
              <w:t>）。</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5</w:t>
            </w:r>
          </w:p>
        </w:tc>
        <w:tc>
          <w:tcPr>
            <w:tcW w:w="1308" w:type="dxa"/>
            <w:noWrap/>
            <w:vAlign w:val="center"/>
          </w:tcPr>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备品备件供应承诺及价格（质保期外）</w:t>
            </w:r>
          </w:p>
          <w:p>
            <w:pPr>
              <w:jc w:val="center"/>
              <w:rPr>
                <w:rFonts w:hint="eastAsia" w:ascii="宋体" w:hAnsi="宋体" w:eastAsia="宋体" w:cs="宋体"/>
                <w:color w:val="000000"/>
                <w:sz w:val="21"/>
                <w:szCs w:val="21"/>
              </w:rPr>
            </w:pP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根据质保期外备品备件优惠及应及人工价格是否合理进行评分。</w:t>
            </w:r>
          </w:p>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质保期外备品备件优惠高及应及人工价格优惠，合理，得4</w:t>
            </w:r>
            <w:r>
              <w:rPr>
                <w:rFonts w:hint="eastAsia" w:ascii="宋体" w:hAnsi="宋体" w:eastAsia="宋体" w:cs="宋体"/>
                <w:color w:val="000000"/>
                <w:sz w:val="21"/>
                <w:szCs w:val="21"/>
                <w:lang w:val="en-US" w:eastAsia="zh-CN"/>
              </w:rPr>
              <w:t>.0-2.6</w:t>
            </w:r>
            <w:r>
              <w:rPr>
                <w:rFonts w:hint="eastAsia" w:ascii="宋体" w:hAnsi="宋体" w:eastAsia="宋体" w:cs="宋体"/>
                <w:color w:val="000000"/>
                <w:sz w:val="21"/>
                <w:szCs w:val="21"/>
              </w:rPr>
              <w:t>分；质保期外备品备件优惠较高及应及人工价格较优惠，较合理，得2</w:t>
            </w:r>
            <w:r>
              <w:rPr>
                <w:rFonts w:hint="eastAsia" w:ascii="宋体" w:hAnsi="宋体" w:eastAsia="宋体" w:cs="宋体"/>
                <w:color w:val="000000"/>
                <w:sz w:val="21"/>
                <w:szCs w:val="21"/>
                <w:lang w:val="en-US" w:eastAsia="zh-CN"/>
              </w:rPr>
              <w:t>.5-1.1</w:t>
            </w:r>
            <w:r>
              <w:rPr>
                <w:rFonts w:hint="eastAsia" w:ascii="宋体" w:hAnsi="宋体" w:eastAsia="宋体" w:cs="宋体"/>
                <w:color w:val="000000"/>
                <w:sz w:val="21"/>
                <w:szCs w:val="21"/>
              </w:rPr>
              <w:t>分；质保期外备品备件优惠力度不高及应及人工价格高，得1</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分。</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6</w:t>
            </w:r>
          </w:p>
        </w:tc>
        <w:tc>
          <w:tcPr>
            <w:tcW w:w="1308"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供货方案</w:t>
            </w:r>
          </w:p>
        </w:tc>
        <w:tc>
          <w:tcPr>
            <w:tcW w:w="7835" w:type="dxa"/>
            <w:noWrap/>
            <w:vAlign w:val="center"/>
          </w:tcPr>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sz w:val="21"/>
                <w:szCs w:val="21"/>
              </w:rPr>
            </w:pPr>
            <w:r>
              <w:rPr>
                <w:rFonts w:hint="eastAsia" w:ascii="宋体" w:hAnsi="宋体" w:eastAsia="宋体" w:cs="宋体"/>
                <w:bCs/>
                <w:color w:val="000000"/>
                <w:sz w:val="21"/>
                <w:szCs w:val="21"/>
              </w:rPr>
              <w:t>根据项目供货方案提供合理性、规范性和可操作性程度，提供完善合理建议进行综合打分</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供货方案合理、规范，操作性强，完善的合理建议的，得</w:t>
            </w: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.0-2.6</w:t>
            </w:r>
            <w:r>
              <w:rPr>
                <w:rFonts w:hint="eastAsia" w:ascii="宋体" w:hAnsi="宋体" w:eastAsia="宋体" w:cs="宋体"/>
                <w:bCs/>
                <w:color w:val="000000"/>
                <w:sz w:val="21"/>
                <w:szCs w:val="21"/>
              </w:rPr>
              <w:t>分；供货方案较合理、较规范，操作性较强，提供建议的，得</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.5-1.1</w:t>
            </w:r>
            <w:r>
              <w:rPr>
                <w:rFonts w:hint="eastAsia" w:ascii="宋体" w:hAnsi="宋体" w:eastAsia="宋体" w:cs="宋体"/>
                <w:bCs/>
                <w:color w:val="000000"/>
                <w:sz w:val="21"/>
                <w:szCs w:val="21"/>
              </w:rPr>
              <w:t>分；供货方案不合理、不规范，操作性差，得</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.0-0</w:t>
            </w:r>
            <w:r>
              <w:rPr>
                <w:rFonts w:hint="eastAsia" w:ascii="宋体" w:hAnsi="宋体" w:eastAsia="宋体" w:cs="宋体"/>
                <w:bCs/>
                <w:color w:val="000000"/>
                <w:sz w:val="21"/>
                <w:szCs w:val="21"/>
              </w:rPr>
              <w:t>分。</w:t>
            </w:r>
          </w:p>
        </w:tc>
        <w:tc>
          <w:tcPr>
            <w:tcW w:w="1232" w:type="dxa"/>
            <w:noWrap/>
            <w:vAlign w:val="center"/>
          </w:tcPr>
          <w:p>
            <w:pPr>
              <w:adjustRightInd w:val="0"/>
              <w:snapToGri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b/>
                <w:szCs w:val="21"/>
                <w:lang w:val="en-US" w:eastAsia="zh-CN"/>
              </w:rPr>
            </w:pPr>
            <w:r>
              <w:rPr>
                <w:rFonts w:hint="eastAsia" w:ascii="宋体"/>
                <w:b/>
                <w:szCs w:val="21"/>
                <w:lang w:val="en-US" w:eastAsia="zh-CN"/>
              </w:rPr>
              <w:t>7</w:t>
            </w:r>
          </w:p>
        </w:tc>
        <w:tc>
          <w:tcPr>
            <w:tcW w:w="1308" w:type="dxa"/>
            <w:noWrap/>
            <w:vAlign w:val="center"/>
          </w:tcPr>
          <w:p>
            <w:pPr>
              <w:autoSpaceDE w:val="0"/>
              <w:autoSpaceDN w:val="0"/>
              <w:adjustRightInd w:val="0"/>
              <w:spacing w:line="260" w:lineRule="exact"/>
              <w:jc w:val="center"/>
              <w:rPr>
                <w:rFonts w:hint="eastAsia" w:ascii="宋体" w:hAnsi="宋体" w:eastAsia="宋体" w:cs="宋体"/>
                <w:bCs/>
                <w:color w:val="000000"/>
                <w:sz w:val="21"/>
                <w:szCs w:val="21"/>
              </w:rPr>
            </w:pPr>
            <w:r>
              <w:rPr>
                <w:rFonts w:hint="eastAsia" w:ascii="宋体" w:hAnsi="宋体" w:eastAsia="宋体" w:cs="宋体"/>
                <w:sz w:val="21"/>
                <w:szCs w:val="21"/>
              </w:rPr>
              <w:t>调试、验收等实施方案</w:t>
            </w:r>
          </w:p>
        </w:tc>
        <w:tc>
          <w:tcPr>
            <w:tcW w:w="7835" w:type="dxa"/>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根据设备安装完成后的调试及验收等实施方案进行综合打分。</w:t>
            </w:r>
          </w:p>
          <w:p>
            <w:pPr>
              <w:keepNext w:val="0"/>
              <w:keepLines w:val="0"/>
              <w:pageBreakBefore w:val="0"/>
              <w:widowControl w:val="0"/>
              <w:kinsoku/>
              <w:wordWrap/>
              <w:overflowPunct/>
              <w:topLinePunct w:val="0"/>
              <w:autoSpaceDE w:val="0"/>
              <w:autoSpaceDN w:val="0"/>
              <w:bidi w:val="0"/>
              <w:adjustRightInd w:val="0"/>
              <w:spacing w:line="300" w:lineRule="exact"/>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调试、验收等实施方案合理、可行的，满足招标文件要求的，得</w:t>
            </w: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.0-3.1</w:t>
            </w:r>
            <w:r>
              <w:rPr>
                <w:rFonts w:hint="eastAsia" w:ascii="宋体" w:hAnsi="宋体" w:eastAsia="宋体" w:cs="宋体"/>
                <w:sz w:val="21"/>
                <w:szCs w:val="21"/>
              </w:rPr>
              <w:t>分；调试、验收等实施方案较合理，基本满足招标文件要求的，得</w:t>
            </w:r>
            <w:r>
              <w:rPr>
                <w:rFonts w:hint="eastAsia" w:ascii="宋体" w:hAnsi="宋体" w:eastAsia="宋体" w:cs="宋体"/>
                <w:color w:val="000000"/>
                <w:sz w:val="21"/>
                <w:szCs w:val="21"/>
                <w:lang w:val="en-US" w:eastAsia="zh-CN"/>
              </w:rPr>
              <w:t>3.0-2.1</w:t>
            </w:r>
            <w:r>
              <w:rPr>
                <w:rFonts w:hint="eastAsia" w:ascii="宋体" w:hAnsi="宋体" w:eastAsia="宋体" w:cs="宋体"/>
                <w:sz w:val="21"/>
                <w:szCs w:val="21"/>
              </w:rPr>
              <w:t>分；调试、验收等实施方案一般，基本满足招标文件要求的，得</w:t>
            </w:r>
            <w:r>
              <w:rPr>
                <w:rFonts w:hint="eastAsia" w:ascii="宋体" w:hAnsi="宋体" w:eastAsia="宋体" w:cs="宋体"/>
                <w:sz w:val="21"/>
                <w:szCs w:val="21"/>
                <w:lang w:val="en-US" w:eastAsia="zh-CN"/>
              </w:rPr>
              <w:t>2.0-1.1</w:t>
            </w:r>
            <w:r>
              <w:rPr>
                <w:rFonts w:hint="eastAsia" w:ascii="宋体" w:hAnsi="宋体" w:eastAsia="宋体" w:cs="宋体"/>
                <w:sz w:val="21"/>
                <w:szCs w:val="21"/>
              </w:rPr>
              <w:t>分；调试、验收等实施方案差，不基本满足招标文件要求的，得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tc>
        <w:tc>
          <w:tcPr>
            <w:tcW w:w="1232" w:type="dxa"/>
            <w:noWrap/>
            <w:vAlign w:val="center"/>
          </w:tcPr>
          <w:p>
            <w:pPr>
              <w:autoSpaceDE w:val="0"/>
              <w:autoSpaceDN w:val="0"/>
              <w:adjustRightIn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val="en-US" w:eastAsia="zh-CN"/>
              </w:rPr>
            </w:pPr>
            <w:r>
              <w:rPr>
                <w:rFonts w:hint="eastAsia" w:ascii="宋体"/>
                <w:b/>
                <w:szCs w:val="21"/>
                <w:lang w:val="en-US" w:eastAsia="zh-CN"/>
              </w:rPr>
              <w:t>8</w:t>
            </w:r>
          </w:p>
        </w:tc>
        <w:tc>
          <w:tcPr>
            <w:tcW w:w="1308" w:type="dxa"/>
            <w:noWrap/>
            <w:vAlign w:val="center"/>
          </w:tcPr>
          <w:p>
            <w:pPr>
              <w:spacing w:line="400" w:lineRule="exact"/>
              <w:jc w:val="center"/>
              <w:rPr>
                <w:rFonts w:hint="eastAsia" w:ascii="宋体" w:hAnsi="宋体" w:eastAsia="宋体" w:cs="宋体"/>
                <w:color w:val="000000"/>
                <w:sz w:val="21"/>
                <w:szCs w:val="21"/>
              </w:rPr>
            </w:pPr>
            <w:r>
              <w:rPr>
                <w:rFonts w:hint="eastAsia" w:ascii="宋体"/>
                <w:szCs w:val="21"/>
              </w:rPr>
              <w:t>售后服务的措施及承诺、优惠内容、培训</w:t>
            </w:r>
          </w:p>
        </w:tc>
        <w:tc>
          <w:tcPr>
            <w:tcW w:w="7835" w:type="dxa"/>
            <w:noWrap/>
            <w:vAlign w:val="center"/>
          </w:tcPr>
          <w:p>
            <w:pPr>
              <w:widowControl/>
              <w:spacing w:line="320" w:lineRule="exact"/>
              <w:ind w:right="145" w:rightChars="69" w:firstLine="420" w:firstLineChars="200"/>
              <w:rPr>
                <w:rFonts w:ascii="宋体"/>
                <w:szCs w:val="21"/>
              </w:rPr>
            </w:pPr>
            <w:r>
              <w:rPr>
                <w:rFonts w:hint="eastAsia" w:ascii="宋体"/>
                <w:szCs w:val="21"/>
              </w:rPr>
              <w:t>1、根据投标人关于整车免费质保的承诺评分：整车免费质量保证期≥1年或1</w:t>
            </w:r>
            <w:r>
              <w:rPr>
                <w:rFonts w:hint="eastAsia" w:ascii="宋体"/>
                <w:szCs w:val="21"/>
                <w:lang w:val="en-US" w:eastAsia="zh-CN"/>
              </w:rPr>
              <w:t>0</w:t>
            </w:r>
            <w:r>
              <w:rPr>
                <w:rFonts w:hint="eastAsia" w:ascii="宋体"/>
                <w:szCs w:val="21"/>
              </w:rPr>
              <w:t>万公里得1分；其余不得分。</w:t>
            </w:r>
          </w:p>
          <w:p>
            <w:pPr>
              <w:widowControl/>
              <w:spacing w:line="320" w:lineRule="exact"/>
              <w:ind w:right="145" w:rightChars="69" w:firstLine="420" w:firstLineChars="200"/>
              <w:rPr>
                <w:rFonts w:ascii="宋体"/>
                <w:szCs w:val="21"/>
              </w:rPr>
            </w:pPr>
            <w:r>
              <w:rPr>
                <w:rFonts w:hint="eastAsia" w:ascii="宋体"/>
                <w:szCs w:val="21"/>
              </w:rPr>
              <w:t>2、根据售后服务承诺的可行性、完整性以及服务承诺落实的保障措施，对用户增加需求的服务响应措施情况等横向比较评分，得0～2分。</w:t>
            </w:r>
          </w:p>
          <w:p>
            <w:pPr>
              <w:widowControl/>
              <w:spacing w:line="320" w:lineRule="exact"/>
              <w:ind w:right="145" w:rightChars="69" w:firstLine="420" w:firstLineChars="200"/>
              <w:rPr>
                <w:rFonts w:ascii="宋体"/>
                <w:szCs w:val="21"/>
              </w:rPr>
            </w:pPr>
            <w:r>
              <w:rPr>
                <w:rFonts w:hint="eastAsia" w:ascii="宋体"/>
                <w:szCs w:val="21"/>
              </w:rPr>
              <w:t>3、根据培训计划的完整性与可行性横向比较评分，得0～2分。</w:t>
            </w:r>
          </w:p>
          <w:p>
            <w:pPr>
              <w:widowControl/>
              <w:spacing w:line="320" w:lineRule="exact"/>
              <w:ind w:right="145" w:rightChars="69" w:firstLine="430"/>
              <w:rPr>
                <w:rFonts w:ascii="宋体"/>
                <w:szCs w:val="21"/>
              </w:rPr>
            </w:pPr>
            <w:r>
              <w:rPr>
                <w:rFonts w:hint="eastAsia" w:ascii="宋体"/>
                <w:szCs w:val="21"/>
              </w:rPr>
              <w:t>4、距采购人最近的服务网点详细介绍（包括地理位置、资质资格、技术力量、经营期限、工作业绩、服务内容等）由评委酌情评分，得0～3分。</w:t>
            </w:r>
          </w:p>
          <w:p>
            <w:pPr>
              <w:widowControl/>
              <w:spacing w:line="320" w:lineRule="exact"/>
              <w:ind w:right="145" w:rightChars="69" w:firstLine="430" w:firstLineChars="0"/>
              <w:rPr>
                <w:rFonts w:hint="eastAsia" w:ascii="宋体" w:hAnsi="宋体" w:eastAsia="宋体" w:cs="宋体"/>
                <w:color w:val="000000"/>
                <w:sz w:val="21"/>
                <w:szCs w:val="21"/>
              </w:rPr>
            </w:pPr>
            <w:r>
              <w:rPr>
                <w:rFonts w:hint="eastAsia" w:ascii="宋体"/>
                <w:szCs w:val="21"/>
              </w:rPr>
              <w:t>5、所投品牌制造商在本项目所在地区域内有授权维修服务站的得2分；没有的不得分。</w:t>
            </w:r>
            <w:r>
              <w:rPr>
                <w:rFonts w:hint="eastAsia" w:ascii="宋体"/>
                <w:b/>
                <w:szCs w:val="21"/>
              </w:rPr>
              <w:t>注：投标文件中须附上证明材料复印件。</w:t>
            </w:r>
          </w:p>
        </w:tc>
        <w:tc>
          <w:tcPr>
            <w:tcW w:w="1232" w:type="dxa"/>
            <w:noWrap/>
            <w:vAlign w:val="center"/>
          </w:tcPr>
          <w:p>
            <w:pPr>
              <w:spacing w:line="400" w:lineRule="exact"/>
              <w:jc w:val="center"/>
              <w:rPr>
                <w:rFonts w:hint="eastAsia" w:ascii="宋体" w:hAnsi="宋体" w:eastAsia="宋体" w:cs="宋体"/>
                <w:color w:val="000000"/>
                <w:sz w:val="21"/>
                <w:szCs w:val="21"/>
                <w:lang w:val="en-US" w:eastAsia="zh-CN"/>
              </w:rPr>
            </w:pPr>
            <w:r>
              <w:rPr>
                <w:rFonts w:hint="eastAsia" w:asci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eastAsia" w:ascii="宋体" w:eastAsia="宋体"/>
                <w:b/>
                <w:szCs w:val="21"/>
                <w:lang w:val="en-US" w:eastAsia="zh-CN"/>
              </w:rPr>
            </w:pPr>
            <w:r>
              <w:rPr>
                <w:rFonts w:hint="eastAsia" w:ascii="宋体"/>
                <w:b/>
                <w:szCs w:val="21"/>
                <w:lang w:val="en-US" w:eastAsia="zh-CN"/>
              </w:rPr>
              <w:t>9</w:t>
            </w:r>
          </w:p>
        </w:tc>
        <w:tc>
          <w:tcPr>
            <w:tcW w:w="1308" w:type="dxa"/>
            <w:noWrap/>
            <w:vAlign w:val="center"/>
          </w:tcPr>
          <w:p>
            <w:pPr>
              <w:spacing w:line="400" w:lineRule="exact"/>
              <w:jc w:val="center"/>
              <w:rPr>
                <w:rFonts w:hint="eastAsia" w:ascii="宋体" w:hAnsi="宋体" w:eastAsia="宋体" w:cs="宋体"/>
                <w:color w:val="000000"/>
                <w:sz w:val="21"/>
                <w:szCs w:val="21"/>
              </w:rPr>
            </w:pPr>
            <w:r>
              <w:rPr>
                <w:rFonts w:hint="eastAsia" w:ascii="宋体"/>
                <w:b/>
                <w:color w:val="000000"/>
                <w:szCs w:val="21"/>
              </w:rPr>
              <w:t>投标人综合实力</w:t>
            </w:r>
          </w:p>
        </w:tc>
        <w:tc>
          <w:tcPr>
            <w:tcW w:w="7835" w:type="dxa"/>
            <w:noWrap/>
            <w:vAlign w:val="center"/>
          </w:tcPr>
          <w:p>
            <w:pPr>
              <w:spacing w:line="320" w:lineRule="exact"/>
              <w:ind w:firstLine="420" w:firstLineChars="200"/>
              <w:rPr>
                <w:rFonts w:ascii="宋体"/>
                <w:color w:val="000000"/>
                <w:szCs w:val="21"/>
              </w:rPr>
            </w:pPr>
            <w:r>
              <w:rPr>
                <w:rFonts w:hint="eastAsia" w:ascii="宋体"/>
                <w:color w:val="000000"/>
                <w:szCs w:val="21"/>
              </w:rPr>
              <w:t>根据各投标人拟投入本项目的人员与技术力量以及其他能证明投标人能力的认证或认定证书等，综合比较评分：</w:t>
            </w:r>
          </w:p>
          <w:p>
            <w:pPr>
              <w:spacing w:line="320" w:lineRule="exact"/>
              <w:ind w:firstLine="420" w:firstLineChars="200"/>
              <w:rPr>
                <w:rFonts w:ascii="宋体"/>
                <w:color w:val="000000"/>
                <w:szCs w:val="21"/>
              </w:rPr>
            </w:pPr>
            <w:r>
              <w:rPr>
                <w:rFonts w:hint="eastAsia" w:ascii="宋体"/>
                <w:color w:val="000000"/>
                <w:szCs w:val="21"/>
              </w:rPr>
              <w:t>好得5</w:t>
            </w:r>
            <w:r>
              <w:rPr>
                <w:rFonts w:hint="eastAsia" w:ascii="宋体"/>
                <w:color w:val="000000"/>
                <w:szCs w:val="21"/>
                <w:lang w:val="en-US" w:eastAsia="zh-CN"/>
              </w:rPr>
              <w:t>.0-3.1</w:t>
            </w:r>
            <w:r>
              <w:rPr>
                <w:rFonts w:hint="eastAsia" w:ascii="宋体"/>
                <w:color w:val="000000"/>
                <w:szCs w:val="21"/>
              </w:rPr>
              <w:t>分；较好得3</w:t>
            </w:r>
            <w:r>
              <w:rPr>
                <w:rFonts w:hint="eastAsia" w:ascii="宋体"/>
                <w:color w:val="000000"/>
                <w:szCs w:val="21"/>
                <w:lang w:val="en-US" w:eastAsia="zh-CN"/>
              </w:rPr>
              <w:t>.0-1.1</w:t>
            </w:r>
            <w:r>
              <w:rPr>
                <w:rFonts w:hint="eastAsia" w:ascii="宋体"/>
                <w:color w:val="000000"/>
                <w:szCs w:val="21"/>
              </w:rPr>
              <w:t>分；一般得1</w:t>
            </w:r>
            <w:r>
              <w:rPr>
                <w:rFonts w:hint="eastAsia" w:ascii="宋体"/>
                <w:color w:val="000000"/>
                <w:szCs w:val="21"/>
                <w:lang w:val="en-US" w:eastAsia="zh-CN"/>
              </w:rPr>
              <w:t>.0-0</w:t>
            </w:r>
            <w:r>
              <w:rPr>
                <w:rFonts w:hint="eastAsia" w:ascii="宋体"/>
                <w:color w:val="000000"/>
                <w:szCs w:val="21"/>
              </w:rPr>
              <w:t>分。</w:t>
            </w:r>
          </w:p>
          <w:p>
            <w:pPr>
              <w:spacing w:line="320" w:lineRule="exact"/>
              <w:ind w:firstLine="420" w:firstLineChars="200"/>
              <w:rPr>
                <w:rFonts w:hint="eastAsia" w:ascii="宋体" w:hAnsi="宋体" w:eastAsia="宋体" w:cs="宋体"/>
                <w:color w:val="000000"/>
                <w:sz w:val="21"/>
                <w:szCs w:val="21"/>
              </w:rPr>
            </w:pPr>
          </w:p>
        </w:tc>
        <w:tc>
          <w:tcPr>
            <w:tcW w:w="1232" w:type="dxa"/>
            <w:noWrap/>
            <w:vAlign w:val="center"/>
          </w:tcPr>
          <w:p>
            <w:pPr>
              <w:spacing w:line="400" w:lineRule="exact"/>
              <w:jc w:val="center"/>
              <w:rPr>
                <w:rFonts w:hint="eastAsia" w:ascii="宋体" w:hAnsi="宋体" w:eastAsia="宋体" w:cs="宋体"/>
                <w:color w:val="000000"/>
                <w:sz w:val="21"/>
                <w:szCs w:val="21"/>
                <w:lang w:val="en-US" w:eastAsia="zh-CN"/>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0" w:type="dxa"/>
            <w:noWrap/>
            <w:vAlign w:val="center"/>
          </w:tcPr>
          <w:p>
            <w:pPr>
              <w:spacing w:line="400" w:lineRule="exact"/>
              <w:jc w:val="center"/>
              <w:rPr>
                <w:rFonts w:hint="default" w:ascii="宋体" w:eastAsia="宋体"/>
                <w:b/>
                <w:szCs w:val="21"/>
                <w:lang w:val="en-US" w:eastAsia="zh-CN"/>
              </w:rPr>
            </w:pPr>
            <w:r>
              <w:rPr>
                <w:rFonts w:hint="eastAsia" w:ascii="宋体"/>
                <w:b/>
                <w:szCs w:val="21"/>
                <w:lang w:val="en-US" w:eastAsia="zh-CN"/>
              </w:rPr>
              <w:t>10</w:t>
            </w:r>
          </w:p>
        </w:tc>
        <w:tc>
          <w:tcPr>
            <w:tcW w:w="1308" w:type="dxa"/>
            <w:noWrap/>
            <w:vAlign w:val="center"/>
          </w:tcPr>
          <w:p>
            <w:pPr>
              <w:spacing w:line="400" w:lineRule="exact"/>
              <w:rPr>
                <w:rFonts w:hint="eastAsia" w:ascii="宋体"/>
                <w:b/>
                <w:color w:val="000000"/>
                <w:szCs w:val="21"/>
              </w:rPr>
            </w:pPr>
            <w:r>
              <w:rPr>
                <w:rFonts w:hint="eastAsia" w:ascii="宋体"/>
                <w:szCs w:val="21"/>
              </w:rPr>
              <w:t>投标文件的制作及装订</w:t>
            </w:r>
          </w:p>
        </w:tc>
        <w:tc>
          <w:tcPr>
            <w:tcW w:w="7835" w:type="dxa"/>
            <w:noWrap/>
            <w:vAlign w:val="center"/>
          </w:tcPr>
          <w:p>
            <w:pPr>
              <w:widowControl/>
              <w:spacing w:line="320" w:lineRule="exact"/>
              <w:ind w:right="145" w:rightChars="69" w:firstLine="420" w:firstLineChars="200"/>
              <w:rPr>
                <w:rFonts w:hint="eastAsia" w:ascii="宋体" w:hAnsi="宋体" w:eastAsia="宋体" w:cs="宋体"/>
                <w:color w:val="000000"/>
                <w:sz w:val="21"/>
                <w:szCs w:val="21"/>
              </w:rPr>
            </w:pPr>
            <w:r>
              <w:rPr>
                <w:rFonts w:hint="eastAsia" w:ascii="宋体"/>
                <w:szCs w:val="21"/>
              </w:rPr>
              <w:t>根据投标文件的制作及装订情况由评委酌情打分 0-2分</w:t>
            </w:r>
          </w:p>
        </w:tc>
        <w:tc>
          <w:tcPr>
            <w:tcW w:w="1232" w:type="dxa"/>
            <w:noWrap/>
            <w:vAlign w:val="center"/>
          </w:tcPr>
          <w:p>
            <w:pPr>
              <w:spacing w:line="400" w:lineRule="exact"/>
              <w:jc w:val="center"/>
              <w:rPr>
                <w:rFonts w:hint="eastAsia" w:ascii="宋体"/>
                <w:szCs w:val="21"/>
              </w:rPr>
            </w:pPr>
            <w:r>
              <w:rPr>
                <w:rFonts w:hint="eastAsia" w:ascii="宋体"/>
                <w:szCs w:val="21"/>
              </w:rPr>
              <w:t>2分</w:t>
            </w:r>
          </w:p>
        </w:tc>
      </w:tr>
    </w:tbl>
    <w:p>
      <w:pPr>
        <w:spacing w:line="360" w:lineRule="auto"/>
        <w:rPr>
          <w:color w:val="auto"/>
        </w:rPr>
      </w:pPr>
      <w:r>
        <w:rPr>
          <w:rFonts w:hint="eastAsia" w:asciiTheme="minorEastAsia" w:hAnsiTheme="minorEastAsia" w:eastAsiaTheme="minorEastAsia"/>
          <w:b/>
          <w:color w:val="auto"/>
          <w:sz w:val="36"/>
          <w:szCs w:val="36"/>
        </w:rPr>
        <w:br w:type="page"/>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招标需求</w:t>
      </w:r>
    </w:p>
    <w:p>
      <w:pPr>
        <w:spacing w:line="36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特别提醒：</w:t>
      </w:r>
    </w:p>
    <w:p>
      <w:pPr>
        <w:spacing w:line="360" w:lineRule="exact"/>
        <w:ind w:firstLine="4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1、本次采购的产品如属于国家实施强制性认证产品目录内的产品，投标人所投产品必须是按照《强制性产品认证管理规定》通过强制性认证的产品。</w:t>
      </w:r>
    </w:p>
    <w:p>
      <w:pPr>
        <w:spacing w:line="360" w:lineRule="exact"/>
        <w:ind w:firstLine="42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采购文件对本项目采购内容提出了功能、性能、设计、安装调试、售后服务等方面的技术要求，本采购文件所提出的是最低限度的技术要求，并未对所有技术细节作规定，也未充分引述有关规范和标准的相关条款，投标人应保证提供符合本采购文件和国家有关标准要求的优质产品和服务。</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招标项目一览表</w:t>
      </w:r>
    </w:p>
    <w:tbl>
      <w:tblPr>
        <w:tblStyle w:val="29"/>
        <w:tblW w:w="8968"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15"/>
        <w:gridCol w:w="1080"/>
        <w:gridCol w:w="930"/>
        <w:gridCol w:w="1080"/>
        <w:gridCol w:w="245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1215"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采购内容</w:t>
            </w:r>
          </w:p>
        </w:tc>
        <w:tc>
          <w:tcPr>
            <w:tcW w:w="1080"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规格及型号</w:t>
            </w:r>
          </w:p>
        </w:tc>
        <w:tc>
          <w:tcPr>
            <w:tcW w:w="930"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数量</w:t>
            </w:r>
          </w:p>
        </w:tc>
        <w:tc>
          <w:tcPr>
            <w:tcW w:w="1080"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单位</w:t>
            </w:r>
          </w:p>
        </w:tc>
        <w:tc>
          <w:tcPr>
            <w:tcW w:w="2458" w:type="dxa"/>
            <w:shd w:val="clear" w:color="auto" w:fill="EEECE1"/>
            <w:vAlign w:val="center"/>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交货期</w:t>
            </w:r>
          </w:p>
        </w:tc>
        <w:tc>
          <w:tcPr>
            <w:tcW w:w="1418" w:type="dxa"/>
            <w:shd w:val="clear" w:color="auto" w:fill="EEECE1"/>
          </w:tcPr>
          <w:p>
            <w:pP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215"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出租车采购</w:t>
            </w:r>
          </w:p>
        </w:tc>
        <w:tc>
          <w:tcPr>
            <w:tcW w:w="1080"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详见技术规格</w:t>
            </w:r>
          </w:p>
        </w:tc>
        <w:tc>
          <w:tcPr>
            <w:tcW w:w="930" w:type="dxa"/>
            <w:vAlign w:val="center"/>
          </w:tcPr>
          <w:p>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 20</w:t>
            </w:r>
          </w:p>
        </w:tc>
        <w:tc>
          <w:tcPr>
            <w:tcW w:w="1080"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辆</w:t>
            </w:r>
          </w:p>
        </w:tc>
        <w:tc>
          <w:tcPr>
            <w:tcW w:w="2458" w:type="dxa"/>
            <w:vAlign w:val="center"/>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合同签订后</w:t>
            </w:r>
            <w:r>
              <w:rPr>
                <w:rFonts w:hint="eastAsia" w:asciiTheme="minorEastAsia" w:hAnsiTheme="minorEastAsia" w:eastAsiaTheme="minorEastAsia" w:cstheme="minorEastAsia"/>
                <w:color w:val="auto"/>
                <w:sz w:val="24"/>
                <w:lang w:val="en-US" w:eastAsia="zh-CN"/>
              </w:rPr>
              <w:t>45</w:t>
            </w:r>
            <w:r>
              <w:rPr>
                <w:rFonts w:hint="eastAsia" w:asciiTheme="minorEastAsia" w:hAnsiTheme="minorEastAsia" w:eastAsiaTheme="minorEastAsia" w:cstheme="minorEastAsia"/>
                <w:color w:val="auto"/>
                <w:sz w:val="24"/>
              </w:rPr>
              <w:t>天内供货完成并通过验收</w:t>
            </w:r>
          </w:p>
        </w:tc>
        <w:tc>
          <w:tcPr>
            <w:tcW w:w="1418" w:type="dxa"/>
          </w:tcPr>
          <w:p>
            <w:pP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采购人指定地点</w:t>
            </w:r>
          </w:p>
        </w:tc>
      </w:tr>
    </w:tbl>
    <w:p>
      <w:pPr>
        <w:widowControl/>
        <w:spacing w:line="340" w:lineRule="exact"/>
        <w:ind w:firstLine="41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本项目包括货物的供货、包装、装卸、运输、安装调试、检定、税金、验收（含第三方验收）、技术培训、技术服务、售后服务等。</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bl>
      <w:tblPr>
        <w:tblStyle w:val="29"/>
        <w:tblW w:w="8946" w:type="dxa"/>
        <w:tblInd w:w="93" w:type="dxa"/>
        <w:tblLayout w:type="fixed"/>
        <w:tblCellMar>
          <w:top w:w="15" w:type="dxa"/>
          <w:left w:w="108" w:type="dxa"/>
          <w:bottom w:w="15" w:type="dxa"/>
          <w:right w:w="108" w:type="dxa"/>
        </w:tblCellMar>
      </w:tblPr>
      <w:tblGrid>
        <w:gridCol w:w="1288"/>
        <w:gridCol w:w="4167"/>
        <w:gridCol w:w="3491"/>
      </w:tblGrid>
      <w:tr>
        <w:tblPrEx>
          <w:tblCellMar>
            <w:top w:w="15" w:type="dxa"/>
            <w:left w:w="108" w:type="dxa"/>
            <w:bottom w:w="15" w:type="dxa"/>
            <w:right w:w="108" w:type="dxa"/>
          </w:tblCellMar>
        </w:tblPrEx>
        <w:trPr>
          <w:trHeight w:val="663"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序号</w:t>
            </w:r>
          </w:p>
        </w:tc>
        <w:tc>
          <w:tcPr>
            <w:tcW w:w="4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项目</w:t>
            </w:r>
          </w:p>
        </w:tc>
        <w:tc>
          <w:tcPr>
            <w:tcW w:w="34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4"/>
              </w:rPr>
            </w:pPr>
            <w:r>
              <w:rPr>
                <w:rFonts w:hint="eastAsia" w:ascii="宋体" w:hAnsi="宋体"/>
                <w:color w:val="auto"/>
                <w:kern w:val="0"/>
                <w:sz w:val="24"/>
              </w:rPr>
              <w:t>技术参数要求</w:t>
            </w:r>
          </w:p>
        </w:tc>
      </w:tr>
      <w:tr>
        <w:tblPrEx>
          <w:tblCellMar>
            <w:top w:w="15" w:type="dxa"/>
            <w:left w:w="108" w:type="dxa"/>
            <w:bottom w:w="15" w:type="dxa"/>
            <w:right w:w="108" w:type="dxa"/>
          </w:tblCellMar>
        </w:tblPrEx>
        <w:trPr>
          <w:trHeight w:val="555" w:hRule="atLeast"/>
        </w:trPr>
        <w:tc>
          <w:tcPr>
            <w:tcW w:w="89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基本参数</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车身长度</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2"/>
                <w:sz w:val="20"/>
                <w:szCs w:val="20"/>
                <w:u w:val="none"/>
                <w:lang w:val="en-US" w:eastAsia="zh-CN" w:bidi="ar-SA"/>
              </w:rPr>
              <w:t>≥4675mm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车身宽度</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≥1770mm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3</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轴距</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≥2670mm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4</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续航</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≥450KM</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5</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车身结构</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三厢车</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6</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三电质保</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8年或80万公里</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7</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电池类型</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磷酸铁锂、刀片电池</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24"/>
                <w:lang w:val="en-US" w:eastAsia="zh-CN"/>
              </w:rPr>
            </w:pPr>
            <w:r>
              <w:rPr>
                <w:rFonts w:hint="eastAsia" w:ascii="宋体" w:hAnsi="宋体"/>
                <w:color w:val="auto"/>
                <w:kern w:val="0"/>
                <w:sz w:val="24"/>
                <w:lang w:val="en-US" w:eastAsia="zh-CN"/>
              </w:rPr>
              <w:t>8</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电池品牌</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比亚迪、宁德时代、国轩高科</w:t>
            </w:r>
          </w:p>
        </w:tc>
      </w:tr>
      <w:tr>
        <w:tblPrEx>
          <w:tblCellMar>
            <w:top w:w="15" w:type="dxa"/>
            <w:left w:w="108" w:type="dxa"/>
            <w:bottom w:w="15" w:type="dxa"/>
            <w:right w:w="108" w:type="dxa"/>
          </w:tblCellMar>
        </w:tblPrEx>
        <w:trPr>
          <w:trHeight w:val="555" w:hRule="atLeast"/>
        </w:trPr>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auto"/>
                <w:kern w:val="0"/>
                <w:sz w:val="24"/>
                <w:lang w:val="en-US" w:eastAsia="zh-CN"/>
              </w:rPr>
            </w:pPr>
            <w:r>
              <w:rPr>
                <w:rFonts w:hint="eastAsia" w:ascii="宋体" w:hAnsi="宋体"/>
                <w:color w:val="auto"/>
                <w:kern w:val="0"/>
                <w:sz w:val="24"/>
                <w:lang w:val="en-US" w:eastAsia="zh-CN"/>
              </w:rPr>
              <w:t>9</w:t>
            </w:r>
          </w:p>
        </w:tc>
        <w:tc>
          <w:tcPr>
            <w:tcW w:w="4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b/>
                <w:bCs/>
                <w:color w:val="auto"/>
                <w:kern w:val="0"/>
                <w:sz w:val="24"/>
              </w:rPr>
              <w:t>▲端口、预埋线要求</w:t>
            </w:r>
          </w:p>
        </w:tc>
        <w:tc>
          <w:tcPr>
            <w:tcW w:w="34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b/>
                <w:bCs/>
                <w:color w:val="auto"/>
                <w:kern w:val="0"/>
                <w:sz w:val="24"/>
              </w:rPr>
              <w:t>车辆必须按招标人要求预留顶灯、计价器、GPS等车载设备的接入端口及预埋线。</w:t>
            </w:r>
          </w:p>
        </w:tc>
      </w:tr>
    </w:tbl>
    <w:p>
      <w:pPr>
        <w:spacing w:line="360" w:lineRule="auto"/>
        <w:outlineLvl w:val="0"/>
        <w:rPr>
          <w:rFonts w:asciiTheme="minorEastAsia" w:hAnsiTheme="minorEastAsia" w:eastAsiaTheme="minorEastAsia" w:cstheme="minorEastAsia"/>
          <w:b/>
          <w:bCs/>
          <w:color w:val="auto"/>
          <w:sz w:val="24"/>
        </w:rPr>
      </w:pP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bookmarkStart w:id="29" w:name="_Toc234138614"/>
      <w:bookmarkEnd w:id="29"/>
      <w:r>
        <w:rPr>
          <w:rFonts w:hint="eastAsia" w:asciiTheme="minorEastAsia" w:hAnsiTheme="minorEastAsia" w:eastAsiaTheme="minorEastAsia" w:cstheme="minorEastAsia"/>
          <w:b/>
          <w:bCs/>
          <w:color w:val="auto"/>
          <w:sz w:val="24"/>
        </w:rPr>
        <w:t>质量保证</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所有车辆必须是在中国范围内合法销售、厂商原装、全新的正品，符合国家及该产品的出厂标准。</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对于影响车辆正常使用的必要组成部分，无论在技术规范中指出与否，投标人都应提供在投标文件中明确列出。</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所有车辆须具备出厂合格证、车辆检测报告等质量证明文件。</w:t>
      </w:r>
    </w:p>
    <w:p>
      <w:pPr>
        <w:numPr>
          <w:ilvl w:val="0"/>
          <w:numId w:val="14"/>
        </w:num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项目售后服务要求：</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4.1中标单位必须实行24小时开通服务热线，提供全方位服务，并将在最短时间内到达服务现场，并半小时内受理，1小时内作出服务响应，2小时内提出解决方案，4小时内解决一般故障，遇重大故障时将立即采取措施分析原因，提出解决故障时间表，不超过2天解决问题。确认是由于车辆部件质量问题造成的故障（非易损、易耗与摩擦件），保证期内承担相应的维修费用。</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4.2配件单次采购供应时间：接到采购人采购订单后，通用件3天内到货，定制件7天内到货。</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4.3 配件长期供应情况：承诺与车辆报废同期。</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4.4中标人必须负责提供相关的车辆使用保养手册，并提供免费的使用维护保养培训工作，直至工作人员熟练操作。</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验收</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1、供货方应提供针对中标车辆有效检验文件，经买方认可后，是车辆验收标准之一。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2、投标方应于投标文件中提供车辆的产品质量检测报告，产品验收标准（应符合中国有关的国家、地方、行业的标准）如若成交，经买方确认后作为验收的依据之一。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3、车辆安全技术性能验收以车辆上牌检测站之报告为准，达到上牌之所有技术标准为重要验收标准之一。</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供货方交货时，经使用方外观等验收及上牌检测合格，供需双方共同签署验收合格证书，双方办理交接手续。验收中发现车辆达不到验收标准，供货方必须更换车辆，并负担由此给用户造成的损失，直到验收合格为止。</w:t>
      </w:r>
    </w:p>
    <w:p>
      <w:pPr>
        <w:numPr>
          <w:ilvl w:val="0"/>
          <w:numId w:val="13"/>
        </w:numPr>
        <w:snapToGrid w:val="0"/>
        <w:spacing w:line="360" w:lineRule="auto"/>
        <w:ind w:firstLine="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商务要求</w:t>
      </w:r>
    </w:p>
    <w:p>
      <w:pPr>
        <w:pStyle w:val="8"/>
        <w:keepNext w:val="0"/>
        <w:numPr>
          <w:ilvl w:val="0"/>
          <w:numId w:val="15"/>
        </w:numPr>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交货期：合同签订后</w:t>
      </w:r>
      <w:r>
        <w:rPr>
          <w:rFonts w:hint="eastAsia" w:asciiTheme="minorEastAsia" w:hAnsiTheme="minorEastAsia" w:eastAsiaTheme="minorEastAsia" w:cstheme="minorEastAsia"/>
          <w:b w:val="0"/>
          <w:color w:val="auto"/>
          <w:lang w:val="en-US" w:eastAsia="zh-CN"/>
        </w:rPr>
        <w:t>45</w:t>
      </w:r>
      <w:r>
        <w:rPr>
          <w:rFonts w:hint="eastAsia" w:asciiTheme="minorEastAsia" w:hAnsiTheme="minorEastAsia" w:eastAsiaTheme="minorEastAsia" w:cstheme="minorEastAsia"/>
          <w:b w:val="0"/>
          <w:color w:val="auto"/>
          <w:lang w:val="en-US"/>
        </w:rPr>
        <w:t>天内供货完成并通过验收。</w:t>
      </w:r>
    </w:p>
    <w:p>
      <w:pPr>
        <w:pStyle w:val="8"/>
        <w:keepNext w:val="0"/>
        <w:numPr>
          <w:ilvl w:val="0"/>
          <w:numId w:val="15"/>
        </w:numPr>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质保期：</w:t>
      </w:r>
    </w:p>
    <w:p>
      <w:pPr>
        <w:pStyle w:val="8"/>
        <w:keepNext w:val="0"/>
        <w:spacing w:before="0" w:after="0" w:line="360" w:lineRule="auto"/>
        <w:ind w:firstLine="48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2.1车辆免费质保期：整车1年或1</w:t>
      </w:r>
      <w:r>
        <w:rPr>
          <w:rFonts w:hint="eastAsia" w:asciiTheme="minorEastAsia" w:hAnsiTheme="minorEastAsia" w:eastAsiaTheme="minorEastAsia" w:cstheme="minorEastAsia"/>
          <w:b w:val="0"/>
          <w:color w:val="auto"/>
          <w:lang w:val="en-US" w:eastAsia="zh-CN"/>
        </w:rPr>
        <w:t>0</w:t>
      </w:r>
      <w:r>
        <w:rPr>
          <w:rFonts w:hint="eastAsia" w:asciiTheme="minorEastAsia" w:hAnsiTheme="minorEastAsia" w:eastAsiaTheme="minorEastAsia" w:cstheme="minorEastAsia"/>
          <w:b w:val="0"/>
          <w:color w:val="auto"/>
          <w:lang w:val="en-US"/>
        </w:rPr>
        <w:t>万公里。保修期以购车发票日期为准算起，保修费用已计入总价。</w:t>
      </w:r>
    </w:p>
    <w:p>
      <w:pPr>
        <w:pStyle w:val="8"/>
        <w:keepNext w:val="0"/>
        <w:spacing w:before="0" w:after="0" w:line="360" w:lineRule="auto"/>
        <w:ind w:firstLine="48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2.2中标人应提供满足货物质保期内正常使用的备品备件，其费用应包括在投标价格之内。</w:t>
      </w:r>
    </w:p>
    <w:p>
      <w:pPr>
        <w:pStyle w:val="14"/>
        <w:snapToGrid w:val="0"/>
        <w:spacing w:before="120" w:after="120" w:line="360" w:lineRule="auto"/>
        <w:ind w:left="400"/>
        <w:outlineLvl w:val="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质保期内免费维护和维修，在质保期内非人为因素出现的质量问题，须按国家有关规定和要求（如无国家规定和要求的，按承诺和厂方“三包”规定）立即进行免费维修、免费更换有缺陷的零部件、直至免费更换新汽车。</w:t>
      </w:r>
    </w:p>
    <w:p>
      <w:pPr>
        <w:pStyle w:val="71"/>
        <w:spacing w:line="360" w:lineRule="auto"/>
        <w:ind w:firstLine="0" w:firstLineChars="0"/>
        <w:rPr>
          <w:rFonts w:hint="eastAsia" w:ascii="宋体" w:hAnsi="宋体" w:eastAsia="宋体"/>
          <w:color w:val="auto"/>
          <w:kern w:val="0"/>
          <w:sz w:val="24"/>
          <w:lang w:eastAsia="zh-CN"/>
        </w:rPr>
      </w:pPr>
      <w:r>
        <w:rPr>
          <w:rFonts w:hint="eastAsia" w:asciiTheme="minorEastAsia" w:hAnsiTheme="minorEastAsia" w:eastAsiaTheme="minorEastAsia" w:cstheme="minorEastAsia"/>
          <w:color w:val="auto"/>
          <w:sz w:val="24"/>
        </w:rPr>
        <w:t>3、交货时间：合同签订后</w:t>
      </w:r>
      <w:r>
        <w:rPr>
          <w:rFonts w:hint="eastAsia" w:asciiTheme="minorEastAsia" w:hAnsiTheme="minorEastAsia" w:eastAsiaTheme="minorEastAsia" w:cstheme="minorEastAsia"/>
          <w:color w:val="auto"/>
          <w:sz w:val="24"/>
          <w:lang w:val="en-US" w:eastAsia="zh-CN"/>
        </w:rPr>
        <w:t>45</w:t>
      </w:r>
      <w:r>
        <w:rPr>
          <w:rFonts w:hint="eastAsia" w:ascii="宋体" w:hAnsi="宋体"/>
          <w:color w:val="auto"/>
          <w:kern w:val="0"/>
          <w:sz w:val="24"/>
        </w:rPr>
        <w:t>天内完成供货；</w:t>
      </w:r>
      <w:r>
        <w:rPr>
          <w:rFonts w:hint="eastAsia" w:ascii="宋体" w:hAnsi="宋体"/>
          <w:color w:val="auto"/>
          <w:kern w:val="0"/>
          <w:sz w:val="24"/>
          <w:lang w:eastAsia="zh-CN"/>
        </w:rPr>
        <w:t>货物包含车辆及家用快充设备、车辆颜色变更等。</w:t>
      </w:r>
    </w:p>
    <w:p>
      <w:pPr>
        <w:pStyle w:val="71"/>
        <w:spacing w:line="360" w:lineRule="auto"/>
        <w:ind w:firstLine="0" w:firstLineChars="0"/>
        <w:rPr>
          <w:rFonts w:ascii="宋体" w:hAnsi="宋体"/>
          <w:color w:val="auto"/>
          <w:kern w:val="0"/>
          <w:sz w:val="24"/>
        </w:rPr>
      </w:pPr>
      <w:r>
        <w:rPr>
          <w:rFonts w:hint="eastAsia" w:ascii="宋体" w:hAnsi="宋体"/>
          <w:color w:val="auto"/>
          <w:kern w:val="0"/>
          <w:sz w:val="24"/>
        </w:rPr>
        <w:t>4、交货地点：采购人指定地点进行交货。</w:t>
      </w:r>
    </w:p>
    <w:p>
      <w:pPr>
        <w:pStyle w:val="8"/>
        <w:keepNext w:val="0"/>
        <w:spacing w:before="0" w:after="0" w:line="360" w:lineRule="auto"/>
        <w:ind w:firstLine="0" w:firstLineChars="0"/>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5、付款方式：</w:t>
      </w:r>
    </w:p>
    <w:p>
      <w:pPr>
        <w:pStyle w:val="8"/>
        <w:keepNext w:val="0"/>
        <w:numPr>
          <w:ilvl w:val="0"/>
          <w:numId w:val="16"/>
        </w:numPr>
        <w:spacing w:before="0" w:after="0" w:line="360" w:lineRule="auto"/>
        <w:ind w:left="0" w:firstLine="48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合同签订前，供应商向采购方支付合同总价的1.5%作为履约保证金。</w:t>
      </w:r>
    </w:p>
    <w:p>
      <w:pPr>
        <w:pStyle w:val="8"/>
        <w:keepNext w:val="0"/>
        <w:numPr>
          <w:ilvl w:val="0"/>
          <w:numId w:val="16"/>
        </w:numPr>
        <w:spacing w:before="0" w:after="0" w:line="360" w:lineRule="auto"/>
        <w:ind w:left="0" w:firstLine="48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采购签订合同后十个工作日内支付合同价款的60%，货到验收合格后十个工作日内支付至合同价款的100%，无息退回履约保证金。</w:t>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7"/>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政府采购合同主要条款指引</w:t>
      </w:r>
    </w:p>
    <w:p>
      <w:pPr>
        <w:snapToGrid w:val="0"/>
        <w:spacing w:beforeLines="50" w:afterLines="50"/>
        <w:jc w:val="center"/>
        <w:rPr>
          <w:rFonts w:ascii="宋体" w:hAnsi="宋体"/>
          <w:b/>
          <w:color w:val="auto"/>
          <w:sz w:val="36"/>
          <w:szCs w:val="36"/>
        </w:rPr>
      </w:pPr>
      <w:r>
        <w:rPr>
          <w:rFonts w:hint="eastAsia" w:ascii="宋体" w:hAnsi="宋体"/>
          <w:b/>
          <w:color w:val="auto"/>
          <w:sz w:val="36"/>
          <w:szCs w:val="36"/>
        </w:rPr>
        <w:t>货物类</w:t>
      </w:r>
    </w:p>
    <w:p>
      <w:pPr>
        <w:widowControl/>
        <w:shd w:val="clear" w:color="auto" w:fill="FFFFFF"/>
        <w:spacing w:after="150" w:line="360" w:lineRule="auto"/>
        <w:ind w:firstLine="480"/>
        <w:jc w:val="left"/>
        <w:rPr>
          <w:rFonts w:asciiTheme="minorEastAsia" w:hAnsiTheme="minorEastAsia" w:eastAsiaTheme="minorEastAsia"/>
          <w:color w:val="auto"/>
          <w:sz w:val="24"/>
        </w:rPr>
      </w:pPr>
      <w:r>
        <w:rPr>
          <w:rFonts w:asciiTheme="minorEastAsia" w:hAnsiTheme="minorEastAsia" w:eastAsiaTheme="minorEastAsia"/>
          <w:color w:val="auto"/>
          <w:sz w:val="24"/>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项目名称：                                       项目编号：</w:t>
      </w:r>
    </w:p>
    <w:p>
      <w:pPr>
        <w:pStyle w:val="14"/>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14"/>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pPr>
        <w:pStyle w:val="14"/>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color w:val="auto"/>
          <w:sz w:val="24"/>
        </w:rPr>
        <w:t>甲、乙双方根据</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(采购组织机构名称）</w:t>
      </w:r>
      <w:r>
        <w:rPr>
          <w:rFonts w:asciiTheme="minorEastAsia" w:hAnsiTheme="minorEastAsia" w:eastAsiaTheme="minorEastAsia"/>
          <w:color w:val="auto"/>
          <w:sz w:val="24"/>
        </w:rPr>
        <w:t>关于</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单位</w:t>
      </w:r>
      <w:r>
        <w:rPr>
          <w:rFonts w:hint="eastAsia" w:cs="Arial" w:asciiTheme="minorEastAsia" w:hAnsiTheme="minorEastAsia" w:eastAsiaTheme="minorEastAsia"/>
          <w:color w:val="auto"/>
          <w:sz w:val="24"/>
        </w:rPr>
        <w:t>××</w:t>
      </w:r>
      <w:r>
        <w:rPr>
          <w:rFonts w:asciiTheme="minorEastAsia" w:hAnsiTheme="minorEastAsia" w:eastAsiaTheme="minorEastAsia"/>
          <w:color w:val="auto"/>
          <w:sz w:val="24"/>
        </w:rPr>
        <w:t>项目公开招标的结果，签署本合同。</w:t>
      </w:r>
    </w:p>
    <w:p>
      <w:pPr>
        <w:spacing w:line="360" w:lineRule="auto"/>
        <w:rPr>
          <w:rFonts w:ascii="宋体"/>
          <w:color w:val="auto"/>
          <w:sz w:val="24"/>
          <w:lang w:val="zh-CN"/>
        </w:rPr>
      </w:pPr>
      <w:r>
        <w:rPr>
          <w:rFonts w:hint="eastAsia" w:ascii="宋体"/>
          <w:color w:val="auto"/>
          <w:sz w:val="24"/>
          <w:lang w:val="zh-CN"/>
        </w:rPr>
        <w:t xml:space="preserve">一、合同文件： </w:t>
      </w:r>
    </w:p>
    <w:p>
      <w:pPr>
        <w:spacing w:line="360" w:lineRule="auto"/>
        <w:ind w:firstLine="480" w:firstLineChars="200"/>
        <w:rPr>
          <w:rFonts w:ascii="宋体"/>
          <w:color w:val="auto"/>
          <w:sz w:val="24"/>
          <w:lang w:val="zh-CN"/>
        </w:rPr>
      </w:pPr>
      <w:r>
        <w:rPr>
          <w:rFonts w:hint="eastAsia" w:ascii="宋体"/>
          <w:color w:val="auto"/>
          <w:sz w:val="24"/>
          <w:lang w:val="zh-CN"/>
        </w:rPr>
        <w:t>1.合同条款。</w:t>
      </w:r>
    </w:p>
    <w:p>
      <w:pPr>
        <w:spacing w:line="360" w:lineRule="auto"/>
        <w:ind w:firstLine="480" w:firstLineChars="200"/>
        <w:rPr>
          <w:rFonts w:ascii="宋体"/>
          <w:color w:val="auto"/>
          <w:sz w:val="24"/>
          <w:lang w:val="zh-CN"/>
        </w:rPr>
      </w:pPr>
      <w:r>
        <w:rPr>
          <w:rFonts w:hint="eastAsia" w:ascii="宋体"/>
          <w:color w:val="auto"/>
          <w:sz w:val="24"/>
          <w:lang w:val="zh-CN"/>
        </w:rPr>
        <w:t>2.中标通知书。</w:t>
      </w:r>
    </w:p>
    <w:p>
      <w:pPr>
        <w:spacing w:line="360" w:lineRule="auto"/>
        <w:ind w:firstLine="480" w:firstLineChars="200"/>
        <w:rPr>
          <w:rFonts w:ascii="宋体"/>
          <w:color w:val="auto"/>
          <w:sz w:val="24"/>
          <w:lang w:val="zh-CN"/>
        </w:rPr>
      </w:pPr>
      <w:r>
        <w:rPr>
          <w:rFonts w:hint="eastAsia" w:ascii="宋体"/>
          <w:color w:val="auto"/>
          <w:sz w:val="24"/>
          <w:lang w:val="zh-CN"/>
        </w:rPr>
        <w:t>3.更正补充文件。</w:t>
      </w:r>
    </w:p>
    <w:p>
      <w:pPr>
        <w:spacing w:line="360" w:lineRule="auto"/>
        <w:ind w:firstLine="480" w:firstLineChars="200"/>
        <w:rPr>
          <w:rFonts w:ascii="宋体"/>
          <w:color w:val="auto"/>
          <w:sz w:val="24"/>
          <w:lang w:val="zh-CN"/>
        </w:rPr>
      </w:pPr>
      <w:r>
        <w:rPr>
          <w:rFonts w:hint="eastAsia" w:ascii="宋体"/>
          <w:color w:val="auto"/>
          <w:sz w:val="24"/>
          <w:lang w:val="zh-CN"/>
        </w:rPr>
        <w:t>4.招标文件。</w:t>
      </w:r>
    </w:p>
    <w:p>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pPr>
        <w:spacing w:line="360" w:lineRule="auto"/>
        <w:ind w:firstLine="480" w:firstLineChars="200"/>
        <w:rPr>
          <w:rFonts w:ascii="宋体"/>
          <w:color w:val="auto"/>
          <w:sz w:val="24"/>
          <w:lang w:val="zh-CN"/>
        </w:rPr>
      </w:pPr>
      <w:r>
        <w:rPr>
          <w:rFonts w:hint="eastAsia" w:ascii="宋体"/>
          <w:color w:val="auto"/>
          <w:sz w:val="24"/>
          <w:lang w:val="zh-CN"/>
        </w:rPr>
        <w:t>6.其他。</w:t>
      </w:r>
    </w:p>
    <w:p>
      <w:pPr>
        <w:pStyle w:val="14"/>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、货物内容</w:t>
      </w:r>
    </w:p>
    <w:p>
      <w:pPr>
        <w:pStyle w:val="14"/>
        <w:snapToGrid w:val="0"/>
        <w:spacing w:before="120" w:after="120" w:line="360" w:lineRule="auto"/>
        <w:rPr>
          <w:rFonts w:hint="default" w:asciiTheme="minorEastAsia" w:hAnsiTheme="minorEastAsia" w:eastAsiaTheme="minorEastAsia"/>
          <w:color w:val="auto"/>
          <w:sz w:val="24"/>
          <w:lang w:val="en-US" w:eastAsia="zh-CN"/>
        </w:rPr>
      </w:pPr>
      <w:r>
        <w:rPr>
          <w:rFonts w:asciiTheme="minorEastAsia" w:hAnsiTheme="minorEastAsia" w:eastAsiaTheme="minorEastAsia"/>
          <w:color w:val="auto"/>
          <w:sz w:val="24"/>
        </w:rPr>
        <w:t>1. 货物名称：</w:t>
      </w:r>
      <w:r>
        <w:rPr>
          <w:rFonts w:hint="eastAsia" w:asciiTheme="minorEastAsia" w:hAnsiTheme="minorEastAsia" w:eastAsiaTheme="minorEastAsia"/>
          <w:color w:val="auto"/>
          <w:sz w:val="24"/>
          <w:lang w:val="en-US" w:eastAsia="zh-CN"/>
        </w:rPr>
        <w:t>新能源纯电出租车</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型号规格：</w:t>
      </w:r>
    </w:p>
    <w:p>
      <w:pPr>
        <w:pStyle w:val="14"/>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 技术参数：</w:t>
      </w:r>
    </w:p>
    <w:p>
      <w:pPr>
        <w:pStyle w:val="14"/>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数量（单位）：</w:t>
      </w:r>
    </w:p>
    <w:p>
      <w:pPr>
        <w:pStyle w:val="14"/>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、合同金额</w:t>
      </w:r>
    </w:p>
    <w:p>
      <w:pPr>
        <w:pStyle w:val="14"/>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 xml:space="preserve"> 本合同金额为（大写）：____________________________________元（￥_______________元）人民币。</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、技术资料</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乙方应按招标文件规定的时间向甲方提供使用货物的有关技术资料。</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pageBreakBefore w:val="0"/>
        <w:kinsoku/>
        <w:wordWrap/>
        <w:overflowPunct/>
        <w:topLinePunct w:val="0"/>
        <w:bidi w:val="0"/>
        <w:snapToGrid w:val="0"/>
        <w:spacing w:before="120" w:after="120" w:line="420" w:lineRule="exact"/>
        <w:ind w:left="412" w:hanging="412" w:hangingChars="171"/>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、知识产权</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乙方应保证所提供的货物或其任何一部分均不会侵犯任何第三方的知识产权。</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2.若侵犯,由乙方赔偿甲方因此遭受的损失（包括但不限于应对及追偿过程中所支付的律师费、差旅费、诉讼费、保全费、鉴定费、评估费等）。</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、产权担保</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u w:val="single"/>
        </w:rPr>
      </w:pPr>
      <w:r>
        <w:rPr>
          <w:rFonts w:asciiTheme="minorEastAsia" w:hAnsiTheme="minorEastAsia" w:eastAsiaTheme="minorEastAsia"/>
          <w:color w:val="auto"/>
          <w:sz w:val="24"/>
        </w:rPr>
        <w:t>乙方保证所交付的货物的所有权完全属于乙方且无任何抵押、查封等产权瑕疵。</w:t>
      </w:r>
    </w:p>
    <w:p>
      <w:pPr>
        <w:pStyle w:val="14"/>
        <w:keepNext w:val="0"/>
        <w:pageBreakBefore w:val="0"/>
        <w:kinsoku/>
        <w:wordWrap/>
        <w:overflowPunct/>
        <w:topLinePunct w:val="0"/>
        <w:bidi w:val="0"/>
        <w:snapToGrid w:val="0"/>
        <w:spacing w:before="120" w:after="120" w:line="420" w:lineRule="exact"/>
        <w:ind w:left="410" w:hanging="410" w:hangingChars="17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、履约保证金</w:t>
      </w:r>
    </w:p>
    <w:p>
      <w:pPr>
        <w:keepNext w:val="0"/>
        <w:pageBreakBefore w:val="0"/>
        <w:tabs>
          <w:tab w:val="left" w:pos="1418"/>
        </w:tabs>
        <w:kinsoku/>
        <w:wordWrap/>
        <w:overflowPunct/>
        <w:topLinePunct w:val="0"/>
        <w:autoSpaceDE w:val="0"/>
        <w:autoSpaceDN w:val="0"/>
        <w:bidi w:val="0"/>
        <w:adjustRightInd w:val="0"/>
        <w:spacing w:line="420" w:lineRule="exact"/>
        <w:ind w:firstLine="480" w:firstLineChars="200"/>
        <w:textAlignment w:val="auto"/>
        <w:rPr>
          <w:rFonts w:asciiTheme="minorEastAsia" w:hAnsiTheme="minorEastAsia" w:eastAsiaTheme="minorEastAsia" w:cstheme="minorBidi"/>
          <w:color w:val="auto"/>
          <w:sz w:val="24"/>
        </w:rPr>
      </w:pPr>
      <w:r>
        <w:rPr>
          <w:rFonts w:hint="eastAsia" w:asciiTheme="minorEastAsia" w:hAnsiTheme="minorEastAsia" w:eastAsiaTheme="minorEastAsia"/>
          <w:color w:val="auto"/>
          <w:sz w:val="24"/>
        </w:rPr>
        <w:t>本项目履约保证金为合同金额的</w:t>
      </w:r>
      <w:r>
        <w:rPr>
          <w:rFonts w:hint="eastAsia" w:asciiTheme="minorEastAsia" w:hAnsiTheme="minorEastAsia" w:eastAsiaTheme="minorEastAsia" w:cstheme="minorEastAsia"/>
          <w:b w:val="0"/>
          <w:color w:val="auto"/>
          <w:kern w:val="2"/>
          <w:sz w:val="24"/>
          <w:szCs w:val="24"/>
          <w:u w:val="single"/>
          <w:lang w:val="en-US" w:eastAsia="zh-CN" w:bidi="ar-SA"/>
        </w:rPr>
        <w:t>1.5</w:t>
      </w:r>
      <w:r>
        <w:rPr>
          <w:rFonts w:hint="eastAsia" w:asciiTheme="minorEastAsia" w:hAnsiTheme="minorEastAsia" w:eastAsiaTheme="minorEastAsia"/>
          <w:color w:val="auto"/>
          <w:sz w:val="24"/>
        </w:rPr>
        <w:t>%。</w:t>
      </w:r>
      <w:r>
        <w:rPr>
          <w:rFonts w:hint="eastAsia" w:asciiTheme="minorEastAsia" w:hAnsiTheme="minorEastAsia" w:eastAsiaTheme="minorEastAsia" w:cstheme="minorBidi"/>
          <w:color w:val="auto"/>
          <w:sz w:val="24"/>
          <w:lang w:val="zh-CN"/>
        </w:rPr>
        <w:t>[</w:t>
      </w:r>
      <w:r>
        <w:rPr>
          <w:rFonts w:hint="eastAsia" w:asciiTheme="minorEastAsia" w:hAnsiTheme="minorEastAsia" w:eastAsiaTheme="minorEastAsia" w:cstheme="minorBidi"/>
          <w:color w:val="auto"/>
          <w:sz w:val="24"/>
        </w:rPr>
        <w:t>合同签订前</w:t>
      </w:r>
      <w:r>
        <w:rPr>
          <w:rFonts w:hint="eastAsia" w:asciiTheme="minorEastAsia" w:hAnsiTheme="minorEastAsia" w:eastAsiaTheme="minorEastAsia" w:cstheme="minorBidi"/>
          <w:color w:val="auto"/>
          <w:sz w:val="24"/>
          <w:lang w:val="zh-CN"/>
        </w:rPr>
        <w:t>交至采购人处]</w:t>
      </w:r>
    </w:p>
    <w:p>
      <w:pPr>
        <w:pStyle w:val="14"/>
        <w:keepNext w:val="0"/>
        <w:pageBreakBefore w:val="0"/>
        <w:kinsoku/>
        <w:wordWrap/>
        <w:overflowPunct/>
        <w:topLinePunct w:val="0"/>
        <w:bidi w:val="0"/>
        <w:snapToGrid w:val="0"/>
        <w:spacing w:before="120" w:after="120" w:line="420" w:lineRule="exact"/>
        <w:ind w:left="410" w:hanging="410" w:hangingChars="17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八、转包或分</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.本合同范围的货物，应由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方直接供应，不得转让他人供应；</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.除非得到</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方的书面同意，</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方不得将本合同范围的货物全部或部分分包给他人供应；</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.如有转让和未经</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方同意的分包行为，</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方有权解除合同，没收履约保证金并追究乙方的违约责任。</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、质保期</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质保期</w:t>
      </w:r>
      <w:r>
        <w:rPr>
          <w:rFonts w:hAnsi="宋体" w:cs="Times New Roman"/>
          <w:color w:val="auto"/>
          <w:sz w:val="24"/>
        </w:rPr>
        <w:t>__</w:t>
      </w:r>
      <w:r>
        <w:rPr>
          <w:rFonts w:hint="eastAsia" w:hAnsi="宋体" w:cs="Times New Roman"/>
          <w:color w:val="auto"/>
          <w:sz w:val="24"/>
          <w:u w:val="single"/>
        </w:rPr>
        <w:t xml:space="preserve">  </w:t>
      </w:r>
      <w:r>
        <w:rPr>
          <w:rFonts w:hAnsi="宋体" w:cs="Times New Roman"/>
          <w:color w:val="auto"/>
          <w:sz w:val="24"/>
        </w:rPr>
        <w:t>_</w:t>
      </w:r>
      <w:r>
        <w:rPr>
          <w:rFonts w:asciiTheme="minorEastAsia" w:hAnsiTheme="minorEastAsia" w:eastAsiaTheme="minorEastAsia"/>
          <w:color w:val="auto"/>
          <w:sz w:val="24"/>
        </w:rPr>
        <w:t>年。（自交货验收合格之日起计）</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w:t>
      </w:r>
      <w:r>
        <w:rPr>
          <w:rFonts w:asciiTheme="minorEastAsia" w:hAnsiTheme="minorEastAsia" w:eastAsiaTheme="minorEastAsia"/>
          <w:b/>
          <w:color w:val="auto"/>
          <w:sz w:val="24"/>
        </w:rPr>
        <w:t>、交货期、交货方式及交货地点</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交货期：</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交货方式：</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交货地点：</w:t>
      </w:r>
      <w:r>
        <w:rPr>
          <w:rFonts w:hint="eastAsia" w:hAnsi="宋体" w:eastAsiaTheme="minorEastAsia"/>
          <w:color w:val="auto"/>
          <w:kern w:val="0"/>
          <w:sz w:val="24"/>
        </w:rPr>
        <w:t>业主</w:t>
      </w:r>
      <w:r>
        <w:rPr>
          <w:rFonts w:hint="eastAsia" w:hAnsi="宋体"/>
          <w:color w:val="auto"/>
          <w:kern w:val="0"/>
          <w:sz w:val="24"/>
        </w:rPr>
        <w:t>指定地点</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、货款支付</w:t>
      </w:r>
    </w:p>
    <w:p>
      <w:pPr>
        <w:keepNext w:val="0"/>
        <w:pageBreakBefore w:val="0"/>
        <w:kinsoku/>
        <w:wordWrap/>
        <w:overflowPunct/>
        <w:topLinePunct w:val="0"/>
        <w:bidi w:val="0"/>
        <w:spacing w:line="420" w:lineRule="exact"/>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付款方式：</w:t>
      </w:r>
    </w:p>
    <w:p>
      <w:pPr>
        <w:pStyle w:val="8"/>
        <w:keepNext w:val="0"/>
        <w:pageBreakBefore w:val="0"/>
        <w:numPr>
          <w:ilvl w:val="0"/>
          <w:numId w:val="18"/>
        </w:numPr>
        <w:kinsoku/>
        <w:wordWrap/>
        <w:overflowPunct/>
        <w:topLinePunct w:val="0"/>
        <w:bidi w:val="0"/>
        <w:spacing w:before="0" w:after="0" w:line="420" w:lineRule="exact"/>
        <w:ind w:left="0" w:firstLine="480"/>
        <w:textAlignment w:val="auto"/>
        <w:rPr>
          <w:rFonts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合同签订前，供应商向采购方支付合同总价的</w:t>
      </w:r>
      <w:r>
        <w:rPr>
          <w:rFonts w:hint="eastAsia" w:asciiTheme="minorEastAsia" w:hAnsiTheme="minorEastAsia" w:eastAsiaTheme="minorEastAsia" w:cstheme="minorEastAsia"/>
          <w:b w:val="0"/>
          <w:color w:val="auto"/>
          <w:lang w:val="en-US" w:eastAsia="zh-CN"/>
        </w:rPr>
        <w:t>1.5</w:t>
      </w:r>
      <w:r>
        <w:rPr>
          <w:rFonts w:hint="eastAsia" w:asciiTheme="minorEastAsia" w:hAnsiTheme="minorEastAsia" w:eastAsiaTheme="minorEastAsia" w:cstheme="minorEastAsia"/>
          <w:b w:val="0"/>
          <w:color w:val="auto"/>
          <w:lang w:val="en-US"/>
        </w:rPr>
        <w:t>%作为履约保证金。</w:t>
      </w:r>
    </w:p>
    <w:p>
      <w:pPr>
        <w:pStyle w:val="8"/>
        <w:keepNext w:val="0"/>
        <w:pageBreakBefore w:val="0"/>
        <w:numPr>
          <w:ilvl w:val="0"/>
          <w:numId w:val="18"/>
        </w:numPr>
        <w:kinsoku/>
        <w:wordWrap/>
        <w:overflowPunct/>
        <w:topLinePunct w:val="0"/>
        <w:bidi w:val="0"/>
        <w:spacing w:before="0" w:after="0" w:line="420" w:lineRule="exact"/>
        <w:ind w:left="0" w:firstLine="480"/>
        <w:textAlignment w:val="auto"/>
        <w:rPr>
          <w:rFonts w:hint="eastAsia" w:asciiTheme="minorEastAsia" w:hAnsiTheme="minorEastAsia" w:eastAsiaTheme="minorEastAsia" w:cstheme="minorEastAsia"/>
          <w:b w:val="0"/>
          <w:color w:val="auto"/>
          <w:lang w:val="en-US"/>
        </w:rPr>
      </w:pPr>
      <w:r>
        <w:rPr>
          <w:rFonts w:hint="eastAsia" w:asciiTheme="minorEastAsia" w:hAnsiTheme="minorEastAsia" w:eastAsiaTheme="minorEastAsia" w:cstheme="minorEastAsia"/>
          <w:b w:val="0"/>
          <w:color w:val="auto"/>
          <w:lang w:val="en-US"/>
        </w:rPr>
        <w:t>采购签订合同后</w:t>
      </w:r>
      <w:r>
        <w:rPr>
          <w:rFonts w:hint="eastAsia" w:asciiTheme="minorEastAsia" w:hAnsiTheme="minorEastAsia" w:eastAsiaTheme="minorEastAsia" w:cstheme="minorEastAsia"/>
          <w:b w:val="0"/>
          <w:color w:val="auto"/>
          <w:lang w:val="en-US" w:eastAsia="zh-CN"/>
        </w:rPr>
        <w:t>十</w:t>
      </w:r>
      <w:r>
        <w:rPr>
          <w:rFonts w:hint="eastAsia" w:asciiTheme="minorEastAsia" w:hAnsiTheme="minorEastAsia" w:eastAsiaTheme="minorEastAsia" w:cstheme="minorEastAsia"/>
          <w:b w:val="0"/>
          <w:color w:val="auto"/>
          <w:lang w:val="en-US"/>
        </w:rPr>
        <w:t>个工作日内支付合同价款的60%，货到验收合格后</w:t>
      </w:r>
      <w:r>
        <w:rPr>
          <w:rFonts w:hint="eastAsia" w:asciiTheme="minorEastAsia" w:hAnsiTheme="minorEastAsia" w:eastAsiaTheme="minorEastAsia" w:cstheme="minorEastAsia"/>
          <w:b w:val="0"/>
          <w:color w:val="auto"/>
          <w:lang w:val="en-US" w:eastAsia="zh-CN"/>
        </w:rPr>
        <w:t>十</w:t>
      </w:r>
      <w:r>
        <w:rPr>
          <w:rFonts w:hint="eastAsia" w:asciiTheme="minorEastAsia" w:hAnsiTheme="minorEastAsia" w:eastAsiaTheme="minorEastAsia" w:cstheme="minorEastAsia"/>
          <w:b w:val="0"/>
          <w:color w:val="auto"/>
          <w:lang w:val="en-US"/>
        </w:rPr>
        <w:t>个工作日内支付至合同价款的</w:t>
      </w:r>
      <w:r>
        <w:rPr>
          <w:rFonts w:hint="eastAsia" w:asciiTheme="minorEastAsia" w:hAnsiTheme="minorEastAsia" w:eastAsiaTheme="minorEastAsia" w:cstheme="minorEastAsia"/>
          <w:b w:val="0"/>
          <w:color w:val="auto"/>
          <w:lang w:val="en-US" w:eastAsia="zh-CN"/>
        </w:rPr>
        <w:t>100</w:t>
      </w:r>
      <w:r>
        <w:rPr>
          <w:rFonts w:hint="eastAsia" w:asciiTheme="minorEastAsia" w:hAnsiTheme="minorEastAsia" w:eastAsiaTheme="minorEastAsia" w:cstheme="minorEastAsia"/>
          <w:b w:val="0"/>
          <w:color w:val="auto"/>
          <w:lang w:val="en-US"/>
        </w:rPr>
        <w:t>%，无息退回履约保证金。</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十二、税费</w:t>
      </w:r>
    </w:p>
    <w:p>
      <w:pPr>
        <w:keepNext w:val="0"/>
        <w:pageBreakBefore w:val="0"/>
        <w:kinsoku/>
        <w:wordWrap/>
        <w:overflowPunct/>
        <w:topLinePunct w:val="0"/>
        <w:bidi w:val="0"/>
        <w:snapToGrid w:val="0"/>
        <w:spacing w:beforeLines="50" w:afterLines="50" w:line="420" w:lineRule="exact"/>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方负担。</w:t>
      </w:r>
    </w:p>
    <w:p>
      <w:pPr>
        <w:pStyle w:val="14"/>
        <w:keepNext w:val="0"/>
        <w:pageBreakBefore w:val="0"/>
        <w:kinsoku/>
        <w:wordWrap/>
        <w:overflowPunct/>
        <w:topLinePunct w:val="0"/>
        <w:bidi w:val="0"/>
        <w:snapToGrid w:val="0"/>
        <w:spacing w:before="120" w:after="120" w:line="420" w:lineRule="exact"/>
        <w:ind w:left="412" w:hanging="412" w:hangingChars="171"/>
        <w:textAlignment w:val="auto"/>
        <w:rPr>
          <w:rFonts w:asciiTheme="minorEastAsia" w:hAnsiTheme="minorEastAsia" w:eastAsiaTheme="minorEastAsia"/>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、质量保证及售后服务</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乙方应按招标文件规定的货物性能、技术要求、质量标准向甲方提供未经使用的全新产品。</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乙方提供的货物在质</w:t>
      </w:r>
      <w:r>
        <w:rPr>
          <w:rFonts w:hint="eastAsia" w:asciiTheme="minorEastAsia" w:hAnsiTheme="minorEastAsia" w:eastAsiaTheme="minorEastAsia"/>
          <w:color w:val="auto"/>
          <w:sz w:val="24"/>
        </w:rPr>
        <w:t>保</w:t>
      </w:r>
      <w:r>
        <w:rPr>
          <w:rFonts w:asciiTheme="minorEastAsia" w:hAnsiTheme="minorEastAsia" w:eastAsiaTheme="minorEastAsia"/>
          <w:color w:val="auto"/>
          <w:sz w:val="24"/>
        </w:rPr>
        <w:t>期内因货物本身的质量问题发生故障，乙方应负责免费更换。对达不到技术要求者，根据实际情况，经双方协商，可按以下办法处理：</w:t>
      </w:r>
    </w:p>
    <w:p>
      <w:pPr>
        <w:pStyle w:val="14"/>
        <w:keepNext w:val="0"/>
        <w:pageBreakBefore w:val="0"/>
        <w:kinsoku/>
        <w:wordWrap/>
        <w:overflowPunct/>
        <w:topLinePunct w:val="0"/>
        <w:bidi w:val="0"/>
        <w:snapToGrid w:val="0"/>
        <w:spacing w:before="120" w:after="120" w:line="420" w:lineRule="exact"/>
        <w:ind w:firstLine="42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⑴更换：由乙方承担所发生的全部费用。</w:t>
      </w:r>
    </w:p>
    <w:p>
      <w:pPr>
        <w:pStyle w:val="14"/>
        <w:keepNext w:val="0"/>
        <w:pageBreakBefore w:val="0"/>
        <w:kinsoku/>
        <w:wordWrap/>
        <w:overflowPunct/>
        <w:topLinePunct w:val="0"/>
        <w:bidi w:val="0"/>
        <w:snapToGrid w:val="0"/>
        <w:spacing w:before="120" w:after="120" w:line="420" w:lineRule="exact"/>
        <w:ind w:firstLine="42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⑵贬值处理：由甲乙双方合议定价。</w:t>
      </w:r>
    </w:p>
    <w:p>
      <w:pPr>
        <w:pStyle w:val="14"/>
        <w:keepNext w:val="0"/>
        <w:pageBreakBefore w:val="0"/>
        <w:kinsoku/>
        <w:wordWrap/>
        <w:overflowPunct/>
        <w:topLinePunct w:val="0"/>
        <w:bidi w:val="0"/>
        <w:snapToGrid w:val="0"/>
        <w:spacing w:before="120" w:after="120" w:line="420" w:lineRule="exact"/>
        <w:ind w:left="420" w:left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⑶退货处理：乙方应退还甲方支付的合同款，同时应承担该货物的直接费用（运输、保险、检验、货款利息及银行手续费等）。</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如在使用过程中发生质量问题，乙方在接到甲方通知后在</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小时内到达甲方现场。</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在质保期内，乙方应对货物出现的质量及安全问题负责处理解决并承担一切费用。</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上述的货物免费保修期为</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年，因人为因素出现的故障不在免费保修范围内。超过保修期的机器设备，终生维修，维修时只收部件成本费。</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、调试和验收</w:t>
      </w:r>
    </w:p>
    <w:p>
      <w:pPr>
        <w:pStyle w:val="14"/>
        <w:keepNext w:val="0"/>
        <w:pageBreakBefore w:val="0"/>
        <w:kinsoku/>
        <w:wordWrap/>
        <w:overflowPunct/>
        <w:topLinePunct w:val="0"/>
        <w:bidi w:val="0"/>
        <w:snapToGrid w:val="0"/>
        <w:spacing w:line="420" w:lineRule="exact"/>
        <w:jc w:val="lef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auto"/>
          <w:sz w:val="24"/>
          <w:u w:val="single"/>
        </w:rPr>
        <w:t>五</w:t>
      </w:r>
      <w:r>
        <w:rPr>
          <w:rFonts w:hint="eastAsia" w:asciiTheme="minorEastAsia" w:hAnsiTheme="minorEastAsia" w:eastAsiaTheme="minorEastAsia"/>
          <w:color w:val="auto"/>
          <w:sz w:val="24"/>
        </w:rPr>
        <w:t>个</w:t>
      </w:r>
      <w:r>
        <w:rPr>
          <w:rFonts w:asciiTheme="minorEastAsia" w:hAnsiTheme="minorEastAsia" w:eastAsiaTheme="minorEastAsia"/>
          <w:color w:val="auto"/>
          <w:sz w:val="24"/>
        </w:rPr>
        <w:t>工作日内验收。</w:t>
      </w:r>
    </w:p>
    <w:p>
      <w:pPr>
        <w:pStyle w:val="14"/>
        <w:keepNext w:val="0"/>
        <w:pageBreakBefore w:val="0"/>
        <w:kinsoku/>
        <w:wordWrap/>
        <w:overflowPunct/>
        <w:topLinePunct w:val="0"/>
        <w:bidi w:val="0"/>
        <w:snapToGrid w:val="0"/>
        <w:spacing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乙方交货前应对产品作出全面检查和对验收文件进行整理，并列出清单，作为甲方收货验收和使用的技术条件依据，检验的结果应随货物交甲方。</w:t>
      </w:r>
    </w:p>
    <w:p>
      <w:pPr>
        <w:pStyle w:val="14"/>
        <w:keepNext w:val="0"/>
        <w:pageBreakBefore w:val="0"/>
        <w:kinsoku/>
        <w:wordWrap/>
        <w:overflowPunct/>
        <w:topLinePunct w:val="0"/>
        <w:bidi w:val="0"/>
        <w:snapToGrid w:val="0"/>
        <w:spacing w:line="420" w:lineRule="exact"/>
        <w:textAlignment w:val="auto"/>
        <w:rPr>
          <w:rFonts w:asciiTheme="minorEastAsia" w:hAnsiTheme="minorEastAsia" w:eastAsiaTheme="minorEastAsia"/>
          <w:color w:val="auto"/>
          <w:sz w:val="24"/>
          <w:u w:val="single"/>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甲方对乙方提供的货物在使用前进行调试时，乙方需负责安装并培训甲方的使用操作人员，并协助甲方一起调试，直到符合技术要求，甲方才做最终验收。</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对技术复杂的货物，甲方应请国家认可的专业检测机构参与初步验收及最终验收，并由其出具质量检测报告。</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验收时乙方必须在现场，验收完毕后作出验收结果报告；验收费用由</w:t>
      </w:r>
      <w:r>
        <w:rPr>
          <w:rFonts w:hint="eastAsia" w:asciiTheme="minorEastAsia" w:hAnsiTheme="minorEastAsia" w:eastAsiaTheme="minorEastAsia"/>
          <w:color w:val="auto"/>
          <w:sz w:val="24"/>
        </w:rPr>
        <w:t>甲</w:t>
      </w:r>
      <w:r>
        <w:rPr>
          <w:rFonts w:asciiTheme="minorEastAsia" w:hAnsiTheme="minorEastAsia" w:eastAsiaTheme="minorEastAsia"/>
          <w:color w:val="auto"/>
          <w:sz w:val="24"/>
        </w:rPr>
        <w:t>方负责。</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、货物包装、发运及运输</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乙方应在货物发运前对其进行满足运输距离、防潮、防震、防锈和防破损装卸等要求包装，以保证货物安全运达甲方指定地点。</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使用说明书、质量检验证明书、随配附件和工具以及清单一并附于货物内。</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乙方在货物发运手续办理完毕后24小时内或货到甲方48小时前通知甲方，以准备接货。</w:t>
      </w:r>
    </w:p>
    <w:p>
      <w:pPr>
        <w:pStyle w:val="14"/>
        <w:keepNext w:val="0"/>
        <w:pageBreakBefore w:val="0"/>
        <w:kinsoku/>
        <w:wordWrap/>
        <w:overflowPunct/>
        <w:topLinePunct w:val="0"/>
        <w:bidi w:val="0"/>
        <w:snapToGrid w:val="0"/>
        <w:spacing w:before="120" w:after="120" w:line="420" w:lineRule="exact"/>
        <w:ind w:left="480"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货物在交付甲方前发生的风险均由乙方负责。</w:t>
      </w:r>
    </w:p>
    <w:p>
      <w:pPr>
        <w:pStyle w:val="14"/>
        <w:keepNext w:val="0"/>
        <w:pageBreakBefore w:val="0"/>
        <w:kinsoku/>
        <w:wordWrap/>
        <w:overflowPunct/>
        <w:topLinePunct w:val="0"/>
        <w:bidi w:val="0"/>
        <w:snapToGrid w:val="0"/>
        <w:spacing w:line="420" w:lineRule="exact"/>
        <w:ind w:left="480" w:right="26" w:hanging="480" w:hanging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货物在规定的交付期限内由乙方送达甲方指定的地点视为交付，乙方同时需通知甲方货物已送达。</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、违约责任</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甲方无正当理由拒收货物的，甲方向乙方偿付拒收货款总值的</w:t>
      </w:r>
      <w:r>
        <w:rPr>
          <w:rFonts w:asciiTheme="minorEastAsia" w:hAnsiTheme="minorEastAsia" w:eastAsiaTheme="minorEastAsia"/>
          <w:color w:val="auto"/>
          <w:sz w:val="24"/>
          <w:u w:val="single"/>
        </w:rPr>
        <w:t>百分之五</w:t>
      </w:r>
      <w:r>
        <w:rPr>
          <w:rFonts w:asciiTheme="minorEastAsia" w:hAnsiTheme="minorEastAsia" w:eastAsiaTheme="minorEastAsia"/>
          <w:color w:val="auto"/>
          <w:sz w:val="24"/>
        </w:rPr>
        <w:t>违约金。</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甲方无故逾期验收和办理货款支付手续的,甲方应按逾期付款总额每日</w:t>
      </w:r>
      <w:r>
        <w:rPr>
          <w:rFonts w:asciiTheme="minorEastAsia" w:hAnsiTheme="minorEastAsia" w:eastAsiaTheme="minorEastAsia"/>
          <w:color w:val="auto"/>
          <w:sz w:val="24"/>
          <w:u w:val="single"/>
        </w:rPr>
        <w:t>万分之五</w:t>
      </w:r>
      <w:r>
        <w:rPr>
          <w:rFonts w:asciiTheme="minorEastAsia" w:hAnsiTheme="minorEastAsia" w:eastAsiaTheme="minorEastAsia"/>
          <w:color w:val="auto"/>
          <w:sz w:val="24"/>
        </w:rPr>
        <w:t>向乙方支付违约金。</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乙方逾期交付货物的，乙方应按逾期交货总额每日</w:t>
      </w:r>
      <w:r>
        <w:rPr>
          <w:rFonts w:asciiTheme="minorEastAsia" w:hAnsiTheme="minorEastAsia" w:eastAsiaTheme="minorEastAsia"/>
          <w:color w:val="auto"/>
          <w:sz w:val="24"/>
          <w:u w:val="single"/>
        </w:rPr>
        <w:t>千分之六</w:t>
      </w:r>
      <w:r>
        <w:rPr>
          <w:rFonts w:asciiTheme="minorEastAsia" w:hAnsiTheme="minorEastAsia" w:eastAsiaTheme="minorEastAsia"/>
          <w:color w:val="auto"/>
          <w:sz w:val="24"/>
        </w:rPr>
        <w:t>向甲方支付违约金，由甲方从待付货款中扣除。逾期超过约定日期</w:t>
      </w:r>
      <w:r>
        <w:rPr>
          <w:rFonts w:asciiTheme="minorEastAsia" w:hAnsiTheme="minorEastAsia" w:eastAsiaTheme="minorEastAsia"/>
          <w:color w:val="auto"/>
          <w:sz w:val="24"/>
          <w:u w:val="single"/>
        </w:rPr>
        <w:t>10</w:t>
      </w:r>
      <w:r>
        <w:rPr>
          <w:rFonts w:asciiTheme="minorEastAsia" w:hAnsiTheme="minorEastAsia" w:eastAsiaTheme="minorEastAsia"/>
          <w:color w:val="auto"/>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u w:val="single"/>
        </w:rPr>
        <w:t>5%</w:t>
      </w:r>
      <w:r>
        <w:rPr>
          <w:rFonts w:asciiTheme="minorEastAsia" w:hAnsiTheme="minorEastAsia" w:eastAsiaTheme="minorEastAsia"/>
          <w:color w:val="auto"/>
          <w:sz w:val="24"/>
        </w:rPr>
        <w:t xml:space="preserve">的违约金，如造成甲方损失超过违约金的，超出部分由乙方继续承担赔偿责任。 </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pageBreakBefore w:val="0"/>
        <w:kinsoku/>
        <w:wordWrap/>
        <w:overflowPunct/>
        <w:topLinePunct w:val="0"/>
        <w:bidi w:val="0"/>
        <w:snapToGrid w:val="0"/>
        <w:spacing w:before="120" w:after="120" w:line="420" w:lineRule="exact"/>
        <w:ind w:left="410" w:hanging="410" w:hangingChars="171"/>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5.若发生纠纷，由违约方赔偿守约方因纠纷所支付的费用（包括但不限于律师费、差旅费、诉讼费、保全费、鉴定费、评估费等）</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、不可抗力事件处理</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在合同有效期内，任何一方因不可抗力事件导致不能履行合同，则合同履行</w:t>
      </w:r>
    </w:p>
    <w:p>
      <w:pPr>
        <w:pStyle w:val="14"/>
        <w:keepNext w:val="0"/>
        <w:pageBreakBefore w:val="0"/>
        <w:kinsoku/>
        <w:wordWrap/>
        <w:overflowPunct/>
        <w:topLinePunct w:val="0"/>
        <w:bidi w:val="0"/>
        <w:snapToGrid w:val="0"/>
        <w:spacing w:before="120" w:after="120" w:line="420" w:lineRule="exact"/>
        <w:ind w:firstLine="360" w:firstLineChars="15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期可延长，其延长期与不可抗力影响期相同。</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不可抗力事件发生后，应立即通知对方，并寄送有关权威机构出具的证明。</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不可抗力事件延续120天以上，双方应通过友好协商，确定是否继续履行合</w:t>
      </w:r>
    </w:p>
    <w:p>
      <w:pPr>
        <w:pStyle w:val="14"/>
        <w:keepNext w:val="0"/>
        <w:pageBreakBefore w:val="0"/>
        <w:kinsoku/>
        <w:wordWrap/>
        <w:overflowPunct/>
        <w:topLinePunct w:val="0"/>
        <w:bidi w:val="0"/>
        <w:snapToGrid w:val="0"/>
        <w:spacing w:before="120" w:after="120" w:line="420" w:lineRule="exact"/>
        <w:ind w:firstLine="360" w:firstLineChars="15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同。</w:t>
      </w:r>
    </w:p>
    <w:p>
      <w:pPr>
        <w:pStyle w:val="14"/>
        <w:keepNext w:val="0"/>
        <w:pageBreakBefore w:val="0"/>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pPr>
        <w:keepNext w:val="0"/>
        <w:pageBreakBefore w:val="0"/>
        <w:widowControl/>
        <w:kinsoku/>
        <w:wordWrap/>
        <w:overflowPunct/>
        <w:topLinePunct w:val="0"/>
        <w:bidi w:val="0"/>
        <w:spacing w:line="42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 xml:space="preserve">1. </w:t>
      </w:r>
      <w:r>
        <w:rPr>
          <w:rFonts w:ascii="宋体" w:hAnsi="宋体" w:cs="宋体"/>
          <w:color w:val="auto"/>
          <w:kern w:val="0"/>
          <w:sz w:val="24"/>
        </w:rPr>
        <w:t>如双方在履行合同时发生纠纷，应协商解决；协商不成时，可提请政府采购管理部门调解；调解不成的通过以下</w:t>
      </w:r>
      <w:r>
        <w:rPr>
          <w:rFonts w:hint="eastAsia" w:ascii="宋体" w:hAnsi="宋体" w:cs="宋体"/>
          <w:color w:val="auto"/>
          <w:kern w:val="0"/>
          <w:sz w:val="24"/>
          <w:u w:val="single"/>
        </w:rPr>
        <w:t>（2）</w:t>
      </w:r>
      <w:r>
        <w:rPr>
          <w:rFonts w:ascii="宋体" w:hAnsi="宋体" w:cs="宋体"/>
          <w:color w:val="auto"/>
          <w:kern w:val="0"/>
          <w:sz w:val="24"/>
        </w:rPr>
        <w:t>方式解决：</w:t>
      </w:r>
    </w:p>
    <w:p>
      <w:pPr>
        <w:keepNext w:val="0"/>
        <w:pageBreakBefore w:val="0"/>
        <w:widowControl/>
        <w:kinsoku/>
        <w:wordWrap/>
        <w:overflowPunct/>
        <w:topLinePunct w:val="0"/>
        <w:bidi w:val="0"/>
        <w:spacing w:line="420" w:lineRule="exact"/>
        <w:jc w:val="left"/>
        <w:textAlignment w:val="auto"/>
        <w:rPr>
          <w:rFonts w:hint="eastAsia" w:ascii="宋体" w:hAnsi="宋体" w:eastAsia="宋体" w:cs="宋体"/>
          <w:color w:val="auto"/>
          <w:kern w:val="0"/>
          <w:sz w:val="24"/>
          <w:lang w:eastAsia="zh-CN"/>
        </w:rPr>
      </w:pPr>
      <w:r>
        <w:rPr>
          <w:rFonts w:ascii="宋体" w:hAnsi="宋体" w:cs="宋体"/>
          <w:color w:val="auto"/>
          <w:kern w:val="0"/>
          <w:sz w:val="24"/>
        </w:rPr>
        <w:t>（1） 提交</w:t>
      </w:r>
      <w:r>
        <w:rPr>
          <w:rFonts w:hAnsi="宋体"/>
          <w:color w:val="auto"/>
          <w:sz w:val="24"/>
          <w:u w:val="single"/>
        </w:rPr>
        <w:t>台州</w:t>
      </w:r>
      <w:r>
        <w:rPr>
          <w:rFonts w:ascii="宋体" w:hAnsi="宋体" w:cs="宋体"/>
          <w:color w:val="auto"/>
          <w:kern w:val="0"/>
          <w:sz w:val="24"/>
        </w:rPr>
        <w:t>仲裁委员会仲裁。</w:t>
      </w:r>
    </w:p>
    <w:p>
      <w:pPr>
        <w:keepNext w:val="0"/>
        <w:pageBreakBefore w:val="0"/>
        <w:widowControl/>
        <w:kinsoku/>
        <w:wordWrap/>
        <w:overflowPunct/>
        <w:topLinePunct w:val="0"/>
        <w:bidi w:val="0"/>
        <w:spacing w:line="420" w:lineRule="exact"/>
        <w:jc w:val="left"/>
        <w:textAlignment w:val="auto"/>
        <w:rPr>
          <w:color w:val="auto"/>
          <w:sz w:val="24"/>
        </w:rPr>
      </w:pPr>
      <w:r>
        <w:rPr>
          <w:rFonts w:ascii="宋体" w:hAnsi="宋体" w:cs="宋体"/>
          <w:color w:val="auto"/>
          <w:kern w:val="0"/>
          <w:sz w:val="24"/>
        </w:rPr>
        <w:t>（2） 依法向</w:t>
      </w:r>
      <w:r>
        <w:rPr>
          <w:rFonts w:hint="eastAsia" w:ascii="宋体" w:hAnsi="宋体" w:cs="宋体"/>
          <w:color w:val="auto"/>
          <w:kern w:val="0"/>
          <w:sz w:val="24"/>
        </w:rPr>
        <w:t>三门县</w:t>
      </w:r>
      <w:r>
        <w:rPr>
          <w:rFonts w:ascii="宋体" w:hAnsi="宋体" w:cs="宋体"/>
          <w:color w:val="auto"/>
          <w:kern w:val="0"/>
          <w:sz w:val="24"/>
        </w:rPr>
        <w:t xml:space="preserve">人民法院提起诉讼。 </w:t>
      </w:r>
    </w:p>
    <w:p>
      <w:pPr>
        <w:pStyle w:val="14"/>
        <w:keepNext w:val="0"/>
        <w:pageBreakBefore w:val="0"/>
        <w:tabs>
          <w:tab w:val="left" w:pos="5790"/>
        </w:tabs>
        <w:kinsoku/>
        <w:wordWrap/>
        <w:overflowPunct/>
        <w:topLinePunct w:val="0"/>
        <w:bidi w:val="0"/>
        <w:snapToGrid w:val="0"/>
        <w:spacing w:before="120" w:after="120" w:line="420" w:lineRule="exact"/>
        <w:textAlignment w:val="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、合同生效及其它</w:t>
      </w:r>
      <w:r>
        <w:rPr>
          <w:rFonts w:asciiTheme="minorEastAsia" w:hAnsiTheme="minorEastAsia" w:eastAsiaTheme="minorEastAsia"/>
          <w:b/>
          <w:color w:val="auto"/>
          <w:sz w:val="24"/>
        </w:rPr>
        <w:tab/>
      </w:r>
    </w:p>
    <w:p>
      <w:pPr>
        <w:pStyle w:val="2"/>
        <w:keepNext w:val="0"/>
        <w:pageBreakBefore w:val="0"/>
        <w:widowControl/>
        <w:kinsoku/>
        <w:wordWrap/>
        <w:overflowPunct/>
        <w:topLinePunct w:val="0"/>
        <w:bidi w:val="0"/>
        <w:spacing w:line="420" w:lineRule="exact"/>
        <w:ind w:right="-88"/>
        <w:textAlignment w:val="auto"/>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w:t>
      </w:r>
      <w:r>
        <w:rPr>
          <w:rFonts w:asciiTheme="minorEastAsia" w:hAnsiTheme="minorEastAsia" w:eastAsiaTheme="minorEastAsia"/>
          <w:color w:val="auto"/>
        </w:rPr>
        <w:t xml:space="preserve"> 合同经双方法定代表人或授权代表</w:t>
      </w:r>
      <w:r>
        <w:rPr>
          <w:rFonts w:hint="eastAsia" w:asciiTheme="minorEastAsia" w:hAnsiTheme="minorEastAsia" w:eastAsiaTheme="minorEastAsia"/>
          <w:color w:val="auto"/>
        </w:rPr>
        <w:t>签字</w:t>
      </w:r>
      <w:r>
        <w:rPr>
          <w:rFonts w:asciiTheme="minorEastAsia" w:hAnsiTheme="minorEastAsia" w:eastAsiaTheme="minorEastAsia"/>
          <w:color w:val="auto"/>
        </w:rPr>
        <w:t>并加盖单位公章后生效。</w:t>
      </w:r>
    </w:p>
    <w:p>
      <w:pPr>
        <w:pStyle w:val="2"/>
        <w:keepNext w:val="0"/>
        <w:pageBreakBefore w:val="0"/>
        <w:widowControl/>
        <w:kinsoku/>
        <w:wordWrap/>
        <w:overflowPunct/>
        <w:topLinePunct w:val="0"/>
        <w:bidi w:val="0"/>
        <w:spacing w:line="420" w:lineRule="exact"/>
        <w:ind w:right="-88"/>
        <w:textAlignment w:val="auto"/>
        <w:rPr>
          <w:rFonts w:asciiTheme="minorEastAsia" w:hAnsiTheme="minorEastAsia" w:eastAsiaTheme="minorEastAsia"/>
          <w:color w:val="auto"/>
        </w:rPr>
      </w:pPr>
      <w:r>
        <w:rPr>
          <w:rFonts w:hint="eastAsia" w:asciiTheme="minorEastAsia" w:hAnsiTheme="minorEastAsia" w:eastAsiaTheme="minorEastAsia"/>
          <w:color w:val="auto"/>
        </w:rPr>
        <w:t xml:space="preserve">2. </w:t>
      </w:r>
      <w:r>
        <w:rPr>
          <w:rFonts w:asciiTheme="minorEastAsia" w:hAnsiTheme="minorEastAsia" w:eastAsiaTheme="minorEastAsia"/>
          <w:color w:val="auto"/>
        </w:rPr>
        <w:t>本合同未尽事宜，遵照《合同法》有关条文执行。</w:t>
      </w:r>
    </w:p>
    <w:p>
      <w:pPr>
        <w:pStyle w:val="2"/>
        <w:keepNext w:val="0"/>
        <w:pageBreakBefore w:val="0"/>
        <w:widowControl/>
        <w:kinsoku/>
        <w:wordWrap/>
        <w:overflowPunct/>
        <w:topLinePunct w:val="0"/>
        <w:bidi w:val="0"/>
        <w:spacing w:line="420" w:lineRule="exact"/>
        <w:ind w:right="-88"/>
        <w:textAlignment w:val="auto"/>
        <w:rPr>
          <w:rFonts w:asciiTheme="minorEastAsia" w:hAnsiTheme="minorEastAsia" w:eastAsiaTheme="minorEastAsia"/>
          <w:color w:val="auto"/>
        </w:rPr>
      </w:pPr>
      <w:r>
        <w:rPr>
          <w:rFonts w:hint="eastAsia" w:asciiTheme="minorEastAsia" w:hAnsiTheme="minorEastAsia" w:eastAsiaTheme="minorEastAsia"/>
          <w:color w:val="auto"/>
        </w:rPr>
        <w:t>3. 本合同一式四份。甲、乙双方各执一份，</w:t>
      </w:r>
      <w:r>
        <w:rPr>
          <w:rFonts w:hint="eastAsia" w:ascii="宋体" w:hAnsi="宋体"/>
          <w:color w:val="auto"/>
        </w:rPr>
        <w:t>采购组织机构及同级人民政府财政部门各执一份</w:t>
      </w:r>
      <w:r>
        <w:rPr>
          <w:rFonts w:hint="eastAsia" w:asciiTheme="minorEastAsia" w:hAnsiTheme="minorEastAsia" w:eastAsiaTheme="minorEastAsia"/>
          <w:color w:val="auto"/>
        </w:rPr>
        <w:t>。本项目未尽事宜以招标文件、投标文件及澄清文件等为准。</w:t>
      </w:r>
    </w:p>
    <w:p>
      <w:pPr>
        <w:widowControl/>
        <w:spacing w:line="360" w:lineRule="auto"/>
        <w:rPr>
          <w:rFonts w:asciiTheme="minorEastAsia" w:hAnsiTheme="minorEastAsia" w:eastAsiaTheme="minorEastAsia"/>
          <w:b/>
          <w:color w:val="auto"/>
          <w:sz w:val="24"/>
        </w:rPr>
      </w:pPr>
    </w:p>
    <w:p>
      <w:pPr>
        <w:widowControl/>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甲方（公章）                                     乙方（公章）</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                                     法定代表人：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                                     委托代理人：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                                       联系电话：</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                                       开户银行：</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帐号：                                           帐号：</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地址及邮编：                                     地址及邮编：</w:t>
      </w:r>
    </w:p>
    <w:p>
      <w:pPr>
        <w:spacing w:line="360" w:lineRule="auto"/>
        <w:rPr>
          <w:rFonts w:asciiTheme="minorEastAsia" w:hAnsiTheme="minorEastAsia" w:eastAsiaTheme="minorEastAsia"/>
          <w:color w:val="auto"/>
          <w:sz w:val="24"/>
        </w:rPr>
      </w:pPr>
    </w:p>
    <w:p>
      <w:pPr>
        <w:spacing w:line="360" w:lineRule="auto"/>
        <w:ind w:firstLine="4920" w:firstLineChars="2050"/>
        <w:rPr>
          <w:rFonts w:asciiTheme="minorEastAsia" w:hAnsiTheme="minorEastAsia" w:eastAsiaTheme="minorEastAsia"/>
          <w:color w:val="auto"/>
          <w:sz w:val="24"/>
        </w:rPr>
      </w:pPr>
      <w:r>
        <w:rPr>
          <w:rFonts w:hint="eastAsia" w:asciiTheme="minorEastAsia" w:hAnsiTheme="minorEastAsia" w:eastAsiaTheme="minorEastAsia"/>
          <w:color w:val="auto"/>
          <w:sz w:val="24"/>
        </w:rPr>
        <w:t>签订时间：    年   月    日</w:t>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12"/>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投标文件格式附件</w:t>
      </w:r>
    </w:p>
    <w:p>
      <w:pPr>
        <w:rPr>
          <w:rFonts w:ascii="宋体" w:hAnsi="宋体"/>
          <w:color w:val="auto"/>
          <w:sz w:val="30"/>
          <w:szCs w:val="30"/>
        </w:rPr>
      </w:pPr>
      <w:r>
        <w:rPr>
          <w:rFonts w:hint="eastAsia" w:ascii="宋体" w:hAnsi="宋体" w:cs="宋体"/>
          <w:b/>
          <w:color w:val="auto"/>
          <w:kern w:val="0"/>
          <w:szCs w:val="21"/>
        </w:rPr>
        <w:t>一、商务报价文件</w:t>
      </w:r>
    </w:p>
    <w:p>
      <w:pPr>
        <w:spacing w:line="360" w:lineRule="auto"/>
        <w:ind w:right="-110"/>
        <w:jc w:val="center"/>
        <w:rPr>
          <w:rFonts w:ascii="宋体" w:hAnsi="宋体"/>
          <w:color w:val="auto"/>
          <w:spacing w:val="40"/>
          <w:sz w:val="52"/>
          <w:szCs w:val="52"/>
        </w:rPr>
      </w:pPr>
      <w:r>
        <w:rPr>
          <w:rFonts w:hint="eastAsia" w:ascii="宋体" w:hAnsi="宋体"/>
          <w:b/>
          <w:color w:val="auto"/>
          <w:sz w:val="28"/>
        </w:rPr>
        <w:br w:type="page"/>
      </w:r>
      <w:r>
        <w:rPr>
          <w:rFonts w:hint="eastAsia" w:ascii="宋体" w:hAnsi="宋体"/>
          <w:color w:val="auto"/>
          <w:spacing w:val="40"/>
          <w:sz w:val="52"/>
          <w:szCs w:val="52"/>
        </w:rPr>
        <w:t>项目名称</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p>
    <w:p>
      <w:pPr>
        <w:spacing w:after="100" w:afterAutospacing="1" w:line="360" w:lineRule="auto"/>
        <w:ind w:right="-108"/>
        <w:jc w:val="center"/>
        <w:rPr>
          <w:rFonts w:ascii="宋体" w:hAnsi="宋体"/>
          <w:b/>
          <w:color w:val="auto"/>
          <w:spacing w:val="40"/>
          <w:sz w:val="84"/>
          <w:szCs w:val="84"/>
        </w:rPr>
      </w:pP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报</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价</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360" w:lineRule="auto"/>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spacing w:line="360" w:lineRule="auto"/>
        <w:ind w:right="532"/>
        <w:jc w:val="center"/>
        <w:rPr>
          <w:rFonts w:ascii="宋体" w:hAnsi="宋体"/>
          <w:color w:val="auto"/>
          <w:sz w:val="36"/>
          <w:szCs w:val="36"/>
        </w:rPr>
      </w:pPr>
    </w:p>
    <w:p>
      <w:pPr>
        <w:spacing w:line="360" w:lineRule="auto"/>
        <w:ind w:right="532"/>
        <w:rPr>
          <w:rFonts w:ascii="宋体" w:hAnsi="宋体"/>
          <w:color w:val="auto"/>
          <w:sz w:val="36"/>
          <w:szCs w:val="36"/>
        </w:rPr>
      </w:pPr>
    </w:p>
    <w:p>
      <w:pPr>
        <w:spacing w:line="360" w:lineRule="auto"/>
        <w:ind w:right="532"/>
        <w:jc w:val="center"/>
        <w:rPr>
          <w:rFonts w:ascii="宋体" w:hAnsi="宋体"/>
          <w:color w:val="auto"/>
          <w:sz w:val="36"/>
          <w:szCs w:val="36"/>
        </w:rPr>
      </w:pP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供应商全称（公章）：</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108" w:firstLine="720" w:firstLineChars="200"/>
        <w:rPr>
          <w:rFonts w:ascii="宋体" w:hAnsi="宋体"/>
          <w:color w:val="auto"/>
          <w:sz w:val="36"/>
          <w:szCs w:val="36"/>
        </w:rPr>
      </w:pPr>
      <w:r>
        <w:rPr>
          <w:rFonts w:hint="eastAsia" w:ascii="宋体" w:hAnsi="宋体"/>
          <w:color w:val="auto"/>
          <w:sz w:val="36"/>
          <w:szCs w:val="36"/>
        </w:rPr>
        <w:t>时    间：</w:t>
      </w:r>
    </w:p>
    <w:p>
      <w:pPr>
        <w:rPr>
          <w:rFonts w:ascii="宋体" w:hAnsi="宋体"/>
          <w:b/>
          <w:color w:val="auto"/>
          <w:sz w:val="28"/>
        </w:rPr>
      </w:pPr>
    </w:p>
    <w:p>
      <w:pPr>
        <w:spacing w:line="360" w:lineRule="auto"/>
        <w:ind w:right="-110"/>
        <w:jc w:val="left"/>
        <w:rPr>
          <w:rFonts w:ascii="宋体" w:hAnsi="宋体"/>
          <w:color w:val="auto"/>
          <w:spacing w:val="40"/>
          <w:sz w:val="52"/>
          <w:szCs w:val="52"/>
        </w:rPr>
      </w:pPr>
      <w:r>
        <w:rPr>
          <w:rFonts w:hint="eastAsia" w:ascii="宋体" w:hAnsi="宋体"/>
          <w:b/>
          <w:color w:val="auto"/>
          <w:sz w:val="28"/>
        </w:rPr>
        <w:t>附件1</w:t>
      </w:r>
    </w:p>
    <w:p>
      <w:pPr>
        <w:spacing w:line="360" w:lineRule="auto"/>
        <w:ind w:left="-2" w:hanging="2"/>
        <w:jc w:val="center"/>
        <w:rPr>
          <w:rFonts w:ascii="宋体" w:hAnsi="宋体"/>
          <w:b/>
          <w:color w:val="auto"/>
          <w:sz w:val="32"/>
          <w:szCs w:val="32"/>
        </w:rPr>
      </w:pPr>
      <w:r>
        <w:rPr>
          <w:rFonts w:hint="eastAsia" w:ascii="宋体" w:hAnsi="宋体"/>
          <w:b/>
          <w:color w:val="auto"/>
          <w:sz w:val="32"/>
          <w:szCs w:val="32"/>
        </w:rPr>
        <w:t>开标一览表</w:t>
      </w:r>
    </w:p>
    <w:p>
      <w:pPr>
        <w:spacing w:line="360" w:lineRule="auto"/>
        <w:ind w:left="-2" w:hanging="2"/>
        <w:jc w:val="center"/>
        <w:rPr>
          <w:rFonts w:ascii="宋体" w:hAnsi="宋体"/>
          <w:b/>
          <w:color w:val="auto"/>
          <w:sz w:val="32"/>
          <w:szCs w:val="32"/>
        </w:rPr>
      </w:pPr>
    </w:p>
    <w:p>
      <w:pPr>
        <w:pStyle w:val="14"/>
        <w:spacing w:line="320" w:lineRule="exact"/>
        <w:rPr>
          <w:rFonts w:hAnsi="宋体"/>
          <w:b/>
          <w:color w:val="auto"/>
          <w:sz w:val="24"/>
        </w:rPr>
      </w:pPr>
      <w:r>
        <w:rPr>
          <w:rFonts w:hAnsi="宋体"/>
          <w:b/>
          <w:color w:val="auto"/>
          <w:sz w:val="24"/>
        </w:rPr>
        <w:t>项目编号：</w:t>
      </w:r>
    </w:p>
    <w:p>
      <w:pPr>
        <w:pStyle w:val="58"/>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97"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78"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42" w:hRule="atLeast"/>
          <w:jc w:val="center"/>
        </w:trPr>
        <w:tc>
          <w:tcPr>
            <w:tcW w:w="8672" w:type="dxa"/>
            <w:gridSpan w:val="3"/>
            <w:tcBorders>
              <w:top w:val="single" w:color="auto" w:sz="12" w:space="0"/>
              <w:left w:val="single" w:color="auto" w:sz="12" w:space="0"/>
              <w:bottom w:val="single" w:color="auto" w:sz="4" w:space="0"/>
              <w:right w:val="single" w:color="auto" w:sz="12" w:space="0"/>
            </w:tcBorders>
            <w:vAlign w:val="center"/>
          </w:tcPr>
          <w:p>
            <w:pPr>
              <w:autoSpaceDE w:val="0"/>
              <w:autoSpaceDN w:val="0"/>
              <w:spacing w:line="450" w:lineRule="exact"/>
              <w:jc w:val="left"/>
              <w:textAlignment w:val="bottom"/>
              <w:rPr>
                <w:rFonts w:ascii="宋体" w:hAnsi="宋体"/>
                <w:color w:val="auto"/>
                <w:sz w:val="24"/>
              </w:rPr>
            </w:pPr>
            <w:r>
              <w:rPr>
                <w:rFonts w:hint="eastAsia" w:ascii="宋体" w:hAnsi="宋体"/>
                <w:color w:val="auto"/>
                <w:sz w:val="24"/>
              </w:rPr>
              <w:t>交货期：</w:t>
            </w:r>
          </w:p>
        </w:tc>
      </w:tr>
    </w:tbl>
    <w:p>
      <w:pPr>
        <w:spacing w:line="360" w:lineRule="auto"/>
        <w:ind w:left="480"/>
        <w:rPr>
          <w:rFonts w:ascii="宋体" w:hAnsi="宋体"/>
          <w:b/>
          <w:color w:val="auto"/>
          <w:sz w:val="30"/>
        </w:rPr>
      </w:pPr>
    </w:p>
    <w:p>
      <w:pPr>
        <w:spacing w:line="360" w:lineRule="auto"/>
        <w:rPr>
          <w:rFonts w:ascii="宋体" w:hAnsi="宋体"/>
          <w:color w:val="auto"/>
          <w:sz w:val="24"/>
        </w:rPr>
      </w:pPr>
      <w:r>
        <w:rPr>
          <w:rFonts w:hint="eastAsia" w:ascii="宋体" w:hAnsi="宋体"/>
          <w:b/>
          <w:color w:val="auto"/>
          <w:szCs w:val="21"/>
        </w:rPr>
        <w:t>填报要求：</w:t>
      </w:r>
    </w:p>
    <w:p>
      <w:pPr>
        <w:pStyle w:val="11"/>
        <w:spacing w:line="360" w:lineRule="auto"/>
        <w:ind w:firstLineChars="200"/>
        <w:rPr>
          <w:rFonts w:ascii="宋体" w:hAnsi="宋体"/>
          <w:color w:val="auto"/>
          <w:kern w:val="0"/>
          <w:szCs w:val="21"/>
        </w:rPr>
      </w:pPr>
      <w:r>
        <w:rPr>
          <w:rFonts w:hint="eastAsia" w:ascii="宋体" w:hAnsi="宋体"/>
          <w:color w:val="auto"/>
          <w:kern w:val="0"/>
          <w:szCs w:val="21"/>
        </w:rPr>
        <w:t>1. 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政策性文件规定、合同包含的所有风险责任等各项费用及不可预见费等所需的全部费用，全部费用已包含在开标一览表的投标总报价中。</w:t>
      </w:r>
    </w:p>
    <w:p>
      <w:pPr>
        <w:spacing w:line="360" w:lineRule="auto"/>
        <w:ind w:firstLine="420" w:firstLineChars="200"/>
        <w:rPr>
          <w:rFonts w:ascii="宋体" w:hAnsi="宋体"/>
          <w:b/>
          <w:i/>
          <w:color w:val="auto"/>
          <w:szCs w:val="21"/>
          <w:u w:val="single"/>
        </w:rPr>
      </w:pPr>
      <w:r>
        <w:rPr>
          <w:rFonts w:hint="eastAsia" w:ascii="宋体" w:hAnsi="宋体"/>
          <w:color w:val="auto"/>
          <w:kern w:val="0"/>
          <w:szCs w:val="21"/>
        </w:rPr>
        <w:t>2.报价一经涂改，应在涂改处加盖单位公章，或者由法定代表人或全权代表签字或盖章，否则其投标作无效标处理。</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rPr>
          <w:rFonts w:ascii="宋体" w:hAnsi="宋体"/>
          <w:b/>
          <w:color w:val="auto"/>
          <w:sz w:val="28"/>
        </w:rPr>
      </w:pPr>
      <w:r>
        <w:rPr>
          <w:rFonts w:hint="eastAsia" w:ascii="宋体" w:hAnsi="宋体"/>
          <w:b/>
          <w:color w:val="auto"/>
          <w:sz w:val="28"/>
        </w:rPr>
        <w:t>附件2</w:t>
      </w:r>
    </w:p>
    <w:p>
      <w:pPr>
        <w:spacing w:line="360" w:lineRule="auto"/>
        <w:ind w:left="-2" w:hanging="2"/>
        <w:jc w:val="center"/>
        <w:rPr>
          <w:rFonts w:ascii="宋体" w:hAnsi="宋体"/>
          <w:b/>
          <w:color w:val="auto"/>
          <w:sz w:val="32"/>
          <w:szCs w:val="32"/>
        </w:rPr>
      </w:pPr>
      <w:r>
        <w:rPr>
          <w:rFonts w:hint="eastAsia" w:ascii="宋体" w:hAnsi="宋体"/>
          <w:b/>
          <w:color w:val="auto"/>
          <w:sz w:val="32"/>
          <w:szCs w:val="32"/>
        </w:rPr>
        <w:t>报价明细表</w:t>
      </w:r>
    </w:p>
    <w:p>
      <w:pPr>
        <w:spacing w:line="360" w:lineRule="auto"/>
        <w:rPr>
          <w:rFonts w:ascii="宋体" w:hAnsi="宋体"/>
          <w:color w:val="auto"/>
          <w:sz w:val="24"/>
        </w:rPr>
      </w:pPr>
      <w:r>
        <w:rPr>
          <w:rFonts w:hint="eastAsia" w:ascii="宋体" w:hAnsi="宋体"/>
          <w:color w:val="auto"/>
          <w:sz w:val="24"/>
        </w:rPr>
        <w:t xml:space="preserve">  项目编号：                                    [货币单位：人民币元]</w:t>
      </w:r>
    </w:p>
    <w:tbl>
      <w:tblPr>
        <w:tblStyle w:val="29"/>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52"/>
        <w:gridCol w:w="1191"/>
        <w:gridCol w:w="1191"/>
        <w:gridCol w:w="1191"/>
        <w:gridCol w:w="119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22"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652"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名称</w:t>
            </w:r>
          </w:p>
        </w:tc>
        <w:tc>
          <w:tcPr>
            <w:tcW w:w="1191" w:type="dxa"/>
            <w:vAlign w:val="center"/>
          </w:tcPr>
          <w:p>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191" w:type="dxa"/>
            <w:vAlign w:val="center"/>
          </w:tcPr>
          <w:p>
            <w:pPr>
              <w:spacing w:line="360" w:lineRule="auto"/>
              <w:ind w:left="52"/>
              <w:jc w:val="center"/>
              <w:rPr>
                <w:rFonts w:ascii="宋体" w:hAnsi="宋体"/>
                <w:b/>
                <w:color w:val="auto"/>
                <w:sz w:val="24"/>
              </w:rPr>
            </w:pPr>
            <w:r>
              <w:rPr>
                <w:rFonts w:hint="eastAsia" w:ascii="宋体" w:hAnsi="宋体"/>
                <w:b/>
                <w:color w:val="auto"/>
                <w:sz w:val="24"/>
              </w:rPr>
              <w:t>数量</w:t>
            </w:r>
          </w:p>
        </w:tc>
        <w:tc>
          <w:tcPr>
            <w:tcW w:w="1191" w:type="dxa"/>
            <w:vAlign w:val="center"/>
          </w:tcPr>
          <w:p>
            <w:pPr>
              <w:spacing w:line="360" w:lineRule="auto"/>
              <w:ind w:left="152"/>
              <w:jc w:val="center"/>
              <w:rPr>
                <w:rFonts w:ascii="宋体" w:hAnsi="宋体"/>
                <w:b/>
                <w:color w:val="auto"/>
                <w:sz w:val="24"/>
              </w:rPr>
            </w:pPr>
            <w:r>
              <w:rPr>
                <w:rFonts w:hint="eastAsia" w:ascii="宋体" w:hAnsi="宋体"/>
                <w:b/>
                <w:color w:val="auto"/>
                <w:sz w:val="24"/>
              </w:rPr>
              <w:t>单价</w:t>
            </w:r>
          </w:p>
        </w:tc>
        <w:tc>
          <w:tcPr>
            <w:tcW w:w="1191" w:type="dxa"/>
            <w:vAlign w:val="center"/>
          </w:tcPr>
          <w:p>
            <w:pPr>
              <w:spacing w:line="360" w:lineRule="auto"/>
              <w:jc w:val="center"/>
              <w:rPr>
                <w:rFonts w:ascii="宋体" w:hAnsi="宋体"/>
                <w:b/>
                <w:color w:val="auto"/>
                <w:sz w:val="24"/>
              </w:rPr>
            </w:pPr>
            <w:r>
              <w:rPr>
                <w:rFonts w:hint="eastAsia" w:ascii="宋体" w:hAnsi="宋体"/>
                <w:b/>
                <w:color w:val="auto"/>
                <w:sz w:val="24"/>
              </w:rPr>
              <w:t>小计</w:t>
            </w:r>
          </w:p>
        </w:tc>
        <w:tc>
          <w:tcPr>
            <w:tcW w:w="1032" w:type="dxa"/>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widowControl/>
              <w:jc w:val="center"/>
              <w:rPr>
                <w:rFonts w:ascii="宋体" w:hAnsi="宋体"/>
                <w:color w:val="auto"/>
                <w:szCs w:val="21"/>
              </w:rPr>
            </w:pPr>
            <w:r>
              <w:rPr>
                <w:rFonts w:hint="eastAsia" w:ascii="宋体" w:hAnsi="宋体"/>
                <w:color w:val="auto"/>
                <w:szCs w:val="21"/>
              </w:rPr>
              <w:t>1</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2</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3</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4</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5</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6</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7</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8</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22" w:type="dxa"/>
            <w:vAlign w:val="center"/>
          </w:tcPr>
          <w:p>
            <w:pPr>
              <w:tabs>
                <w:tab w:val="left" w:pos="8280"/>
              </w:tabs>
              <w:autoSpaceDE w:val="0"/>
              <w:autoSpaceDN w:val="0"/>
              <w:adjustRightInd w:val="0"/>
              <w:ind w:right="25"/>
              <w:jc w:val="center"/>
              <w:rPr>
                <w:rFonts w:ascii="宋体" w:hAnsi="宋体"/>
                <w:color w:val="auto"/>
                <w:szCs w:val="21"/>
              </w:rPr>
            </w:pPr>
            <w:r>
              <w:rPr>
                <w:rFonts w:hint="eastAsia" w:ascii="宋体" w:hAnsi="宋体"/>
                <w:color w:val="auto"/>
                <w:szCs w:val="21"/>
              </w:rPr>
              <w:t>9</w:t>
            </w:r>
          </w:p>
        </w:tc>
        <w:tc>
          <w:tcPr>
            <w:tcW w:w="2652" w:type="dxa"/>
            <w:vAlign w:val="center"/>
          </w:tcPr>
          <w:p>
            <w:pPr>
              <w:widowControl/>
              <w:jc w:val="center"/>
              <w:rPr>
                <w:rFonts w:ascii="宋体" w:hAnsi="宋体" w:cs="宋体"/>
                <w:color w:val="auto"/>
                <w:szCs w:val="21"/>
              </w:rPr>
            </w:pPr>
          </w:p>
        </w:tc>
        <w:tc>
          <w:tcPr>
            <w:tcW w:w="1191" w:type="dxa"/>
            <w:vAlign w:val="center"/>
          </w:tcPr>
          <w:p>
            <w:pPr>
              <w:pStyle w:val="11"/>
              <w:ind w:firstLine="0"/>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tabs>
                <w:tab w:val="left" w:pos="8280"/>
              </w:tabs>
              <w:autoSpaceDE w:val="0"/>
              <w:autoSpaceDN w:val="0"/>
              <w:adjustRightInd w:val="0"/>
              <w:ind w:right="25"/>
              <w:jc w:val="center"/>
              <w:rPr>
                <w:rFonts w:ascii="宋体" w:hAnsi="宋体" w:cs="宋体"/>
                <w:color w:val="auto"/>
                <w:szCs w:val="21"/>
              </w:rPr>
            </w:pPr>
          </w:p>
        </w:tc>
        <w:tc>
          <w:tcPr>
            <w:tcW w:w="1191" w:type="dxa"/>
            <w:vAlign w:val="center"/>
          </w:tcPr>
          <w:p>
            <w:pPr>
              <w:spacing w:line="360" w:lineRule="auto"/>
              <w:rPr>
                <w:rFonts w:ascii="宋体" w:hAnsi="宋体"/>
                <w:color w:val="auto"/>
                <w:sz w:val="24"/>
              </w:rPr>
            </w:pPr>
          </w:p>
        </w:tc>
        <w:tc>
          <w:tcPr>
            <w:tcW w:w="1032"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370" w:type="dxa"/>
            <w:gridSpan w:val="7"/>
            <w:tcBorders>
              <w:bottom w:val="single" w:color="auto" w:sz="4" w:space="0"/>
            </w:tcBorders>
            <w:vAlign w:val="center"/>
          </w:tcPr>
          <w:p>
            <w:pPr>
              <w:spacing w:line="360" w:lineRule="auto"/>
              <w:rPr>
                <w:rFonts w:ascii="宋体" w:hAnsi="宋体"/>
                <w:b/>
                <w:color w:val="auto"/>
                <w:sz w:val="24"/>
              </w:rPr>
            </w:pPr>
            <w:r>
              <w:rPr>
                <w:rFonts w:hint="eastAsia" w:ascii="宋体" w:hAnsi="宋体"/>
                <w:b/>
                <w:color w:val="auto"/>
                <w:sz w:val="24"/>
              </w:rPr>
              <w:t>合计人民币：大写                               小写</w:t>
            </w: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5"/>
        <w:rPr>
          <w:rFonts w:ascii="宋体" w:hAnsi="宋体"/>
          <w:color w:val="auto"/>
          <w:szCs w:val="21"/>
        </w:rPr>
      </w:pPr>
      <w:r>
        <w:rPr>
          <w:rFonts w:hint="eastAsia" w:ascii="宋体" w:hAnsi="宋体"/>
          <w:color w:val="auto"/>
          <w:szCs w:val="21"/>
        </w:rPr>
        <w:t>1. 本表为《开标一览表》的报价明细表，如有缺项、漏项，视为投标报价中已包含相关费用，采购人无需另外支付任何费用。</w:t>
      </w:r>
    </w:p>
    <w:p>
      <w:pPr>
        <w:spacing w:line="360" w:lineRule="auto"/>
        <w:ind w:left="435"/>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“报价明细表”中的报价合计应与“开标一览表”中的投标总报价相一致，不一致时，以开标一览表为准。</w:t>
      </w:r>
    </w:p>
    <w:p>
      <w:pPr>
        <w:spacing w:line="360" w:lineRule="auto"/>
        <w:ind w:left="435"/>
        <w:rPr>
          <w:rFonts w:ascii="宋体"/>
          <w:color w:val="auto"/>
          <w:szCs w:val="21"/>
          <w:lang w:val="zh-CN"/>
        </w:rPr>
      </w:pPr>
      <w:r>
        <w:rPr>
          <w:rFonts w:hint="eastAsia" w:ascii="宋体"/>
          <w:color w:val="auto"/>
          <w:szCs w:val="21"/>
        </w:rPr>
        <w:t>3.</w:t>
      </w:r>
      <w:r>
        <w:rPr>
          <w:rFonts w:hint="eastAsia" w:ascii="宋体"/>
          <w:color w:val="auto"/>
          <w:szCs w:val="21"/>
          <w:lang w:val="zh-CN"/>
        </w:rPr>
        <w:t>投标报价明细表所填内容按招标文件采购清单要求为准。如有漏报的，视同已包含在投标总价内或已作优惠处理。有重大缺项的将作无效标处理。</w:t>
      </w:r>
    </w:p>
    <w:p>
      <w:pPr>
        <w:spacing w:line="360" w:lineRule="auto"/>
        <w:ind w:left="435"/>
        <w:rPr>
          <w:rFonts w:ascii="宋体"/>
          <w:color w:val="auto"/>
          <w:szCs w:val="21"/>
          <w:lang w:val="zh-CN"/>
        </w:rPr>
      </w:pPr>
      <w:r>
        <w:rPr>
          <w:rFonts w:hint="eastAsia" w:ascii="宋体"/>
          <w:color w:val="auto"/>
          <w:szCs w:val="21"/>
          <w:lang w:val="zh-CN"/>
        </w:rPr>
        <w:t>4. 以上数量均为暂估，结算数量按实际完成的数量为准。</w:t>
      </w: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rPr>
          <w:color w:val="auto"/>
        </w:rPr>
      </w:pPr>
    </w:p>
    <w:p>
      <w:pPr>
        <w:rPr>
          <w:rFonts w:ascii="宋体" w:hAnsi="宋体"/>
          <w:b/>
          <w:color w:val="auto"/>
          <w:kern w:val="0"/>
          <w:sz w:val="28"/>
          <w:szCs w:val="28"/>
        </w:rPr>
      </w:pPr>
      <w:r>
        <w:rPr>
          <w:rFonts w:hint="eastAsia" w:ascii="宋体" w:hAnsi="宋体"/>
          <w:color w:val="auto"/>
          <w:sz w:val="30"/>
          <w:szCs w:val="30"/>
        </w:rPr>
        <w:t xml:space="preserve"> 　　　</w:t>
      </w:r>
    </w:p>
    <w:p>
      <w:pPr>
        <w:widowControl/>
        <w:jc w:val="left"/>
        <w:rPr>
          <w:rFonts w:ascii="宋体" w:hAnsi="宋体" w:cs="宋体"/>
          <w:b/>
          <w:color w:val="auto"/>
          <w:kern w:val="0"/>
          <w:szCs w:val="21"/>
        </w:rPr>
      </w:pPr>
      <w:r>
        <w:rPr>
          <w:rFonts w:hint="eastAsia" w:ascii="宋体" w:hAnsi="宋体" w:cs="宋体"/>
          <w:b/>
          <w:color w:val="auto"/>
          <w:kern w:val="0"/>
          <w:szCs w:val="21"/>
        </w:rPr>
        <w:t>二、资信技术文件</w:t>
      </w:r>
    </w:p>
    <w:p>
      <w:pPr>
        <w:spacing w:line="360" w:lineRule="auto"/>
        <w:ind w:right="-110"/>
        <w:jc w:val="center"/>
        <w:rPr>
          <w:rFonts w:hint="eastAsia" w:ascii="宋体" w:hAnsi="宋体"/>
          <w:color w:val="auto"/>
          <w:spacing w:val="40"/>
          <w:sz w:val="52"/>
          <w:szCs w:val="52"/>
        </w:rPr>
      </w:pPr>
    </w:p>
    <w:p>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pPr>
        <w:spacing w:beforeLines="100" w:line="360" w:lineRule="auto"/>
        <w:ind w:right="-108"/>
        <w:jc w:val="center"/>
        <w:rPr>
          <w:rFonts w:ascii="宋体" w:hAnsi="宋体"/>
          <w:color w:val="auto"/>
          <w:sz w:val="36"/>
          <w:szCs w:val="36"/>
        </w:rPr>
      </w:pPr>
      <w:r>
        <w:rPr>
          <w:rFonts w:hint="eastAsia" w:ascii="宋体" w:hAnsi="宋体"/>
          <w:color w:val="auto"/>
          <w:sz w:val="36"/>
          <w:szCs w:val="36"/>
        </w:rPr>
        <w:t>项目编号：</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资信与技术文件</w:t>
      </w:r>
      <w:r>
        <w:rPr>
          <w:rFonts w:hint="eastAsia" w:ascii="宋体" w:hAnsi="宋体"/>
          <w:b/>
          <w:color w:val="auto"/>
          <w:spacing w:val="40"/>
          <w:sz w:val="28"/>
          <w:szCs w:val="28"/>
        </w:rPr>
        <w:t>）</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投标人全称（公章）：</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地    址：</w:t>
      </w:r>
    </w:p>
    <w:p>
      <w:pPr>
        <w:spacing w:line="360" w:lineRule="auto"/>
        <w:ind w:right="532" w:firstLine="720" w:firstLineChars="200"/>
        <w:rPr>
          <w:rFonts w:ascii="宋体" w:hAnsi="宋体"/>
          <w:color w:val="auto"/>
          <w:sz w:val="36"/>
          <w:szCs w:val="36"/>
        </w:rPr>
      </w:pPr>
      <w:r>
        <w:rPr>
          <w:rFonts w:hint="eastAsia" w:ascii="宋体" w:hAnsi="宋体"/>
          <w:color w:val="auto"/>
          <w:sz w:val="36"/>
          <w:szCs w:val="36"/>
        </w:rPr>
        <w:t>时    间：</w:t>
      </w:r>
    </w:p>
    <w:p>
      <w:pPr>
        <w:spacing w:line="360" w:lineRule="auto"/>
        <w:ind w:right="532" w:firstLine="720" w:firstLineChars="200"/>
        <w:rPr>
          <w:rFonts w:ascii="宋体" w:hAnsi="宋体"/>
          <w:color w:val="auto"/>
          <w:sz w:val="36"/>
          <w:szCs w:val="36"/>
        </w:rPr>
      </w:pPr>
    </w:p>
    <w:p>
      <w:pPr>
        <w:pStyle w:val="2"/>
        <w:rPr>
          <w:rFonts w:ascii="宋体" w:hAnsi="宋体"/>
          <w:color w:val="auto"/>
          <w:sz w:val="36"/>
          <w:szCs w:val="36"/>
        </w:rPr>
      </w:pPr>
    </w:p>
    <w:p>
      <w:pPr>
        <w:pStyle w:val="2"/>
        <w:rPr>
          <w:rFonts w:ascii="宋体" w:hAnsi="宋体"/>
          <w:color w:val="auto"/>
          <w:sz w:val="36"/>
          <w:szCs w:val="36"/>
        </w:rPr>
      </w:pPr>
    </w:p>
    <w:p>
      <w:pPr>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商务与技术文件评分索引</w:t>
      </w:r>
    </w:p>
    <w:tbl>
      <w:tblPr>
        <w:tblStyle w:val="30"/>
        <w:tblpPr w:leftFromText="180" w:rightFromText="180" w:vertAnchor="text" w:horzAnchor="page" w:tblpX="1440" w:tblpY="7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437"/>
        <w:gridCol w:w="3706"/>
        <w:gridCol w:w="162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ind w:right="-107" w:rightChars="-51"/>
              <w:jc w:val="center"/>
              <w:rPr>
                <w:rFonts w:hint="eastAsia" w:ascii="宋体" w:hAnsi="宋体" w:eastAsia="宋体" w:cs="宋体"/>
                <w:color w:val="auto"/>
                <w:sz w:val="24"/>
                <w:szCs w:val="24"/>
                <w:vertAlign w:val="baseline"/>
                <w:lang w:eastAsia="zh-CN"/>
              </w:rPr>
            </w:pPr>
            <w:r>
              <w:rPr>
                <w:rFonts w:hint="eastAsia" w:ascii="宋体" w:hAnsi="宋体" w:cs="宋体"/>
                <w:color w:val="auto"/>
                <w:sz w:val="24"/>
              </w:rPr>
              <w:t>序号</w:t>
            </w:r>
          </w:p>
        </w:tc>
        <w:tc>
          <w:tcPr>
            <w:tcW w:w="1500" w:type="dxa"/>
            <w:noWrap w:val="0"/>
            <w:vAlign w:val="center"/>
          </w:tcPr>
          <w:p>
            <w:pPr>
              <w:jc w:val="center"/>
              <w:rPr>
                <w:rFonts w:hint="eastAsia" w:ascii="宋体" w:hAnsi="宋体" w:eastAsia="宋体" w:cs="宋体"/>
                <w:color w:val="auto"/>
                <w:sz w:val="24"/>
                <w:szCs w:val="24"/>
                <w:vertAlign w:val="baseline"/>
              </w:rPr>
            </w:pPr>
            <w:r>
              <w:rPr>
                <w:rFonts w:hint="eastAsia" w:ascii="宋体" w:hAnsi="宋体" w:cs="宋体"/>
                <w:color w:val="auto"/>
                <w:sz w:val="24"/>
              </w:rPr>
              <w:t>评审项目</w:t>
            </w:r>
          </w:p>
        </w:tc>
        <w:tc>
          <w:tcPr>
            <w:tcW w:w="3915" w:type="dxa"/>
            <w:noWrap w:val="0"/>
            <w:vAlign w:val="center"/>
          </w:tcPr>
          <w:p>
            <w:pPr>
              <w:jc w:val="center"/>
              <w:rPr>
                <w:rFonts w:hint="eastAsia" w:ascii="宋体" w:hAnsi="宋体" w:eastAsia="宋体" w:cs="宋体"/>
                <w:color w:val="auto"/>
                <w:sz w:val="24"/>
                <w:szCs w:val="24"/>
                <w:vertAlign w:val="baseline"/>
              </w:rPr>
            </w:pPr>
            <w:r>
              <w:rPr>
                <w:rFonts w:hint="eastAsia" w:ascii="宋体" w:hAnsi="宋体" w:cs="宋体"/>
                <w:color w:val="auto"/>
                <w:sz w:val="24"/>
              </w:rPr>
              <w:t>评分标准</w:t>
            </w:r>
          </w:p>
        </w:tc>
        <w:tc>
          <w:tcPr>
            <w:tcW w:w="169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投标人自评分</w:t>
            </w:r>
          </w:p>
        </w:tc>
        <w:tc>
          <w:tcPr>
            <w:tcW w:w="135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noWrap w:val="0"/>
            <w:vAlign w:val="center"/>
          </w:tcPr>
          <w:p>
            <w:pPr>
              <w:pStyle w:val="2"/>
              <w:rPr>
                <w:rFonts w:hint="eastAsia" w:ascii="宋体" w:hAnsi="宋体" w:eastAsia="宋体" w:cs="宋体"/>
                <w:color w:val="auto"/>
                <w:sz w:val="24"/>
                <w:szCs w:val="24"/>
                <w:vertAlign w:val="baseline"/>
              </w:rPr>
            </w:pPr>
          </w:p>
        </w:tc>
        <w:tc>
          <w:tcPr>
            <w:tcW w:w="1500" w:type="dxa"/>
            <w:noWrap w:val="0"/>
            <w:vAlign w:val="center"/>
          </w:tcPr>
          <w:p>
            <w:pPr>
              <w:pStyle w:val="2"/>
              <w:rPr>
                <w:rFonts w:hint="eastAsia" w:ascii="宋体" w:hAnsi="宋体" w:eastAsia="宋体" w:cs="宋体"/>
                <w:color w:val="auto"/>
                <w:sz w:val="24"/>
                <w:szCs w:val="24"/>
                <w:vertAlign w:val="baseline"/>
              </w:rPr>
            </w:pPr>
          </w:p>
        </w:tc>
        <w:tc>
          <w:tcPr>
            <w:tcW w:w="3915" w:type="dxa"/>
            <w:noWrap w:val="0"/>
            <w:vAlign w:val="center"/>
          </w:tcPr>
          <w:p>
            <w:pPr>
              <w:pStyle w:val="2"/>
              <w:rPr>
                <w:rFonts w:hint="eastAsia" w:ascii="宋体" w:hAnsi="宋体" w:eastAsia="宋体" w:cs="宋体"/>
                <w:color w:val="auto"/>
                <w:sz w:val="24"/>
                <w:szCs w:val="24"/>
                <w:vertAlign w:val="baseline"/>
              </w:rPr>
            </w:pPr>
          </w:p>
        </w:tc>
        <w:tc>
          <w:tcPr>
            <w:tcW w:w="1695" w:type="dxa"/>
            <w:noWrap w:val="0"/>
            <w:vAlign w:val="center"/>
          </w:tcPr>
          <w:p>
            <w:pPr>
              <w:pStyle w:val="2"/>
              <w:rPr>
                <w:rFonts w:hint="eastAsia" w:ascii="宋体" w:hAnsi="宋体" w:eastAsia="宋体" w:cs="宋体"/>
                <w:color w:val="auto"/>
                <w:sz w:val="24"/>
                <w:szCs w:val="24"/>
                <w:vertAlign w:val="baseline"/>
              </w:rPr>
            </w:pPr>
          </w:p>
        </w:tc>
        <w:tc>
          <w:tcPr>
            <w:tcW w:w="1358" w:type="dxa"/>
            <w:noWrap w:val="0"/>
            <w:vAlign w:val="center"/>
          </w:tcPr>
          <w:p>
            <w:pPr>
              <w:pStyle w:val="2"/>
              <w:rPr>
                <w:rFonts w:hint="eastAsia" w:ascii="宋体" w:hAnsi="宋体" w:eastAsia="宋体" w:cs="宋体"/>
                <w:color w:val="auto"/>
                <w:sz w:val="24"/>
                <w:szCs w:val="24"/>
                <w:vertAlign w:val="baseline"/>
              </w:rPr>
            </w:pPr>
          </w:p>
        </w:tc>
      </w:tr>
    </w:tbl>
    <w:p>
      <w:pPr>
        <w:pStyle w:val="2"/>
        <w:rPr>
          <w:rFonts w:hint="eastAsia"/>
          <w:color w:val="auto"/>
        </w:rPr>
      </w:pPr>
    </w:p>
    <w:p>
      <w:pPr>
        <w:snapToGrid w:val="0"/>
        <w:spacing w:before="50" w:after="50" w:line="360" w:lineRule="auto"/>
        <w:ind w:firstLine="241" w:firstLineChars="100"/>
        <w:jc w:val="left"/>
        <w:rPr>
          <w:rFonts w:hint="eastAsia" w:ascii="仿宋_GB2312" w:hAnsi="宋体" w:eastAsia="仿宋_GB2312"/>
          <w:b/>
          <w:color w:val="auto"/>
          <w:sz w:val="24"/>
          <w:szCs w:val="24"/>
          <w:highlight w:val="none"/>
          <w:lang w:eastAsia="zh-CN"/>
        </w:rPr>
      </w:pPr>
      <w:r>
        <w:rPr>
          <w:rFonts w:hint="eastAsia" w:ascii="仿宋_GB2312" w:hAnsi="宋体" w:eastAsia="仿宋_GB2312"/>
          <w:b/>
          <w:color w:val="auto"/>
          <w:sz w:val="24"/>
          <w:szCs w:val="24"/>
          <w:highlight w:val="none"/>
          <w:lang w:eastAsia="zh-CN"/>
        </w:rPr>
        <w:t>注：“</w:t>
      </w:r>
      <w:r>
        <w:rPr>
          <w:rFonts w:hint="eastAsia" w:ascii="宋体" w:hAnsi="宋体" w:eastAsia="宋体" w:cs="宋体"/>
          <w:b w:val="0"/>
          <w:bCs/>
          <w:color w:val="auto"/>
          <w:sz w:val="24"/>
          <w:szCs w:val="24"/>
          <w:highlight w:val="none"/>
          <w:lang w:eastAsia="zh-CN"/>
        </w:rPr>
        <w:t>商务与技术文件评分索引”放在商务与技术文件首页。投标供应商应结合本招标文件评分标准细则认真填制相关内容，以及在投标文件中所对应的页码，如未提供，评委有权认为不具备或不符合，有可能影响投标人的得分。</w:t>
      </w:r>
    </w:p>
    <w:p>
      <w:pPr>
        <w:snapToGrid w:val="0"/>
        <w:spacing w:before="50" w:after="50" w:line="360" w:lineRule="auto"/>
        <w:jc w:val="center"/>
        <w:rPr>
          <w:rFonts w:hint="eastAsia" w:ascii="宋体" w:hAnsi="宋体"/>
          <w:b/>
          <w:bCs/>
          <w:color w:val="auto"/>
          <w:sz w:val="32"/>
          <w:szCs w:val="32"/>
          <w:highlight w:val="none"/>
          <w:lang w:val="zh-CN"/>
        </w:rPr>
      </w:pPr>
    </w:p>
    <w:p>
      <w:pPr>
        <w:pStyle w:val="2"/>
        <w:rPr>
          <w:rFonts w:hint="eastAsia" w:ascii="宋体" w:hAnsi="宋体"/>
          <w:b/>
          <w:bCs/>
          <w:color w:val="auto"/>
          <w:sz w:val="32"/>
          <w:szCs w:val="32"/>
          <w:highlight w:val="none"/>
          <w:lang w:val="zh-CN"/>
        </w:rPr>
      </w:pPr>
    </w:p>
    <w:p>
      <w:pPr>
        <w:pStyle w:val="2"/>
        <w:rPr>
          <w:rFonts w:hint="eastAsia" w:ascii="宋体" w:hAnsi="宋体"/>
          <w:b/>
          <w:bCs/>
          <w:color w:val="auto"/>
          <w:sz w:val="32"/>
          <w:szCs w:val="32"/>
          <w:highlight w:val="none"/>
          <w:lang w:val="zh-CN"/>
        </w:rPr>
      </w:pPr>
    </w:p>
    <w:p>
      <w:pPr>
        <w:pStyle w:val="2"/>
        <w:rPr>
          <w:rFonts w:hint="eastAsia" w:ascii="宋体" w:hAnsi="宋体"/>
          <w:b/>
          <w:bCs/>
          <w:color w:val="auto"/>
          <w:sz w:val="32"/>
          <w:szCs w:val="32"/>
          <w:highlight w:val="none"/>
          <w:lang w:val="zh-CN"/>
        </w:rPr>
      </w:pPr>
    </w:p>
    <w:p>
      <w:pPr>
        <w:spacing w:line="360" w:lineRule="auto"/>
        <w:jc w:val="both"/>
        <w:rPr>
          <w:rFonts w:hint="eastAsia" w:ascii="宋体" w:hAnsi="宋体" w:cs="宋体"/>
          <w:color w:val="auto"/>
          <w:sz w:val="24"/>
          <w:u w:val="single"/>
        </w:rPr>
      </w:pPr>
      <w:r>
        <w:rPr>
          <w:rFonts w:hint="eastAsia" w:ascii="宋体" w:hAnsi="宋体" w:cs="宋体"/>
          <w:color w:val="auto"/>
          <w:sz w:val="24"/>
        </w:rPr>
        <w:t>投标单位：</w:t>
      </w:r>
      <w:r>
        <w:rPr>
          <w:rFonts w:hint="eastAsia" w:ascii="宋体" w:hAnsi="宋体" w:cs="宋体"/>
          <w:color w:val="auto"/>
          <w:sz w:val="24"/>
          <w:u w:val="single"/>
        </w:rPr>
        <w:t>　　　　    　　　　</w:t>
      </w:r>
      <w:r>
        <w:rPr>
          <w:rFonts w:hint="eastAsia" w:ascii="宋体" w:hAnsi="宋体" w:cs="宋体"/>
          <w:color w:val="auto"/>
          <w:sz w:val="24"/>
        </w:rPr>
        <w:t>盖章</w:t>
      </w:r>
    </w:p>
    <w:p>
      <w:pPr>
        <w:spacing w:line="360" w:lineRule="auto"/>
        <w:jc w:val="both"/>
        <w:rPr>
          <w:rFonts w:hint="eastAsia" w:ascii="宋体" w:hAnsi="宋体" w:cs="宋体"/>
          <w:color w:val="auto"/>
          <w:sz w:val="24"/>
        </w:rPr>
      </w:pPr>
    </w:p>
    <w:p>
      <w:pPr>
        <w:spacing w:line="360" w:lineRule="auto"/>
        <w:jc w:val="both"/>
        <w:rPr>
          <w:rFonts w:hint="eastAsia" w:ascii="宋体" w:hAnsi="宋体" w:cs="宋体"/>
          <w:color w:val="auto"/>
          <w:sz w:val="24"/>
        </w:rPr>
      </w:pPr>
      <w:r>
        <w:rPr>
          <w:rFonts w:hint="eastAsia" w:ascii="宋体" w:hAnsi="宋体" w:cs="宋体"/>
          <w:color w:val="auto"/>
          <w:sz w:val="24"/>
        </w:rPr>
        <w:t>法定代表人或被授权人：（签字或盖章）</w:t>
      </w:r>
    </w:p>
    <w:p>
      <w:pPr>
        <w:spacing w:line="360" w:lineRule="auto"/>
        <w:jc w:val="both"/>
        <w:rPr>
          <w:rFonts w:hint="eastAsia" w:ascii="宋体" w:hAnsi="宋体" w:cs="宋体"/>
          <w:color w:val="auto"/>
          <w:sz w:val="24"/>
        </w:rPr>
      </w:pPr>
    </w:p>
    <w:p>
      <w:pPr>
        <w:spacing w:line="360" w:lineRule="auto"/>
        <w:jc w:val="both"/>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w:t>
      </w:r>
      <w:r>
        <w:rPr>
          <w:rFonts w:hint="eastAsia" w:ascii="宋体" w:hAnsi="宋体" w:cs="宋体"/>
          <w:color w:val="auto"/>
          <w:sz w:val="24"/>
        </w:rPr>
        <w:t>年</w:t>
      </w:r>
      <w:r>
        <w:rPr>
          <w:rFonts w:hint="eastAsia" w:ascii="宋体" w:hAnsi="宋体" w:cs="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rPr>
        <w:t>日</w:t>
      </w:r>
    </w:p>
    <w:p>
      <w:pPr>
        <w:pStyle w:val="2"/>
        <w:rPr>
          <w:rFonts w:ascii="宋体" w:hAnsi="宋体"/>
          <w:color w:val="auto"/>
          <w:sz w:val="36"/>
          <w:szCs w:val="36"/>
        </w:rPr>
      </w:pPr>
    </w:p>
    <w:p>
      <w:pPr>
        <w:rPr>
          <w:rFonts w:ascii="宋体" w:hAnsi="宋体"/>
          <w:b/>
          <w:color w:val="auto"/>
          <w:sz w:val="28"/>
        </w:rPr>
      </w:pPr>
    </w:p>
    <w:p>
      <w:pPr>
        <w:spacing w:line="360" w:lineRule="auto"/>
        <w:ind w:left="420"/>
        <w:rPr>
          <w:rFonts w:ascii="宋体" w:hAnsi="宋体"/>
          <w:b/>
          <w:color w:val="auto"/>
          <w:sz w:val="28"/>
        </w:rPr>
      </w:pPr>
      <w:r>
        <w:rPr>
          <w:rFonts w:hint="eastAsia" w:ascii="宋体" w:hAnsi="宋体"/>
          <w:b/>
          <w:color w:val="auto"/>
          <w:sz w:val="28"/>
        </w:rPr>
        <w:t>附件3</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投标声明书</w:t>
      </w:r>
    </w:p>
    <w:p>
      <w:pPr>
        <w:snapToGrid w:val="0"/>
        <w:spacing w:beforeLines="50" w:after="50" w:line="360" w:lineRule="auto"/>
        <w:ind w:firstLine="480" w:firstLineChars="200"/>
        <w:rPr>
          <w:rFonts w:ascii="宋体" w:hAnsi="宋体" w:cs="宋体"/>
          <w:color w:val="auto"/>
          <w:kern w:val="0"/>
          <w:sz w:val="24"/>
        </w:rPr>
      </w:pPr>
      <w:r>
        <w:rPr>
          <w:rFonts w:hint="eastAsia" w:ascii="宋体" w:hAnsi="宋体" w:cs="宋体"/>
          <w:color w:val="auto"/>
          <w:kern w:val="0"/>
          <w:sz w:val="24"/>
        </w:rPr>
        <w:t>（采购代理机构名称）：</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pPr>
        <w:snapToGrid w:val="0"/>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1、</w:t>
      </w:r>
      <w:r>
        <w:rPr>
          <w:rFonts w:hint="eastAsia" w:ascii="Arial" w:hAnsi="Arial" w:cs="Arial"/>
          <w:color w:val="auto"/>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2、我公司</w:t>
      </w:r>
      <w:r>
        <w:rPr>
          <w:rFonts w:ascii="宋体" w:hAnsi="宋体" w:cs="宋体"/>
          <w:color w:val="auto"/>
          <w:kern w:val="0"/>
          <w:sz w:val="24"/>
        </w:rPr>
        <w:t>在参与投标前已</w:t>
      </w:r>
      <w:r>
        <w:rPr>
          <w:rFonts w:hint="eastAsia" w:ascii="宋体" w:hAnsi="宋体" w:cs="宋体"/>
          <w:color w:val="auto"/>
          <w:kern w:val="0"/>
          <w:sz w:val="24"/>
        </w:rPr>
        <w:t>详细审查</w:t>
      </w:r>
      <w:r>
        <w:rPr>
          <w:rFonts w:ascii="宋体" w:hAnsi="宋体" w:cs="宋体"/>
          <w:color w:val="auto"/>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rPr>
        <w:t>利。</w:t>
      </w:r>
    </w:p>
    <w:p>
      <w:pPr>
        <w:numPr>
          <w:ilvl w:val="255"/>
          <w:numId w:val="0"/>
        </w:numPr>
        <w:snapToGrid w:val="0"/>
        <w:spacing w:line="360"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pPr>
        <w:adjustRightInd w:val="0"/>
        <w:snapToGrid w:val="0"/>
        <w:spacing w:line="360" w:lineRule="auto"/>
        <w:ind w:firstLine="480"/>
        <w:rPr>
          <w:rFonts w:ascii="宋体" w:hAnsi="宋体" w:cs="仿宋_GB2312"/>
          <w:color w:val="auto"/>
          <w:kern w:val="0"/>
          <w:sz w:val="24"/>
        </w:rPr>
      </w:pPr>
    </w:p>
    <w:p>
      <w:pPr>
        <w:adjustRightInd w:val="0"/>
        <w:snapToGrid w:val="0"/>
        <w:spacing w:line="360"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投标人名称(公章)：</w:t>
      </w:r>
    </w:p>
    <w:p>
      <w:pPr>
        <w:adjustRightInd w:val="0"/>
        <w:snapToGrid w:val="0"/>
        <w:spacing w:line="360"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pPr>
        <w:adjustRightInd w:val="0"/>
        <w:snapToGrid w:val="0"/>
        <w:spacing w:line="360"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pPr>
        <w:adjustRightInd w:val="0"/>
        <w:snapToGrid w:val="0"/>
        <w:spacing w:line="360" w:lineRule="auto"/>
        <w:ind w:right="480"/>
        <w:rPr>
          <w:rFonts w:ascii="宋体"/>
          <w:b/>
          <w:color w:val="auto"/>
          <w:sz w:val="30"/>
          <w:szCs w:val="30"/>
        </w:rPr>
      </w:pPr>
      <w:r>
        <w:rPr>
          <w:rFonts w:hint="eastAsia" w:ascii="宋体" w:hAnsi="宋体"/>
          <w:b/>
          <w:color w:val="auto"/>
          <w:sz w:val="28"/>
        </w:rPr>
        <w:t>附件4</w:t>
      </w:r>
    </w:p>
    <w:p>
      <w:pPr>
        <w:spacing w:line="360" w:lineRule="auto"/>
        <w:ind w:firstLine="321" w:firstLineChars="100"/>
        <w:jc w:val="center"/>
        <w:rPr>
          <w:rFonts w:hAnsi="宋体"/>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（采购代理机构名称）：</w:t>
      </w:r>
    </w:p>
    <w:p>
      <w:pPr>
        <w:pStyle w:val="14"/>
        <w:spacing w:line="500" w:lineRule="exact"/>
        <w:ind w:left="240" w:hanging="240" w:hangingChars="1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r>
        <w:rPr>
          <w:rFonts w:hint="eastAsia" w:ascii="宋体"/>
          <w:color w:val="auto"/>
          <w:sz w:val="24"/>
        </w:rPr>
        <w:t>投标人全称（公章）：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pacing w:line="360" w:lineRule="auto"/>
        <w:rPr>
          <w:b/>
          <w:color w:val="auto"/>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napToGrid w:val="0"/>
        <w:spacing w:beforeLines="50" w:after="50" w:line="360" w:lineRule="auto"/>
        <w:rPr>
          <w:rFonts w:ascii="宋体" w:hAnsi="宋体"/>
          <w:b/>
          <w:color w:val="auto"/>
          <w:sz w:val="28"/>
        </w:rPr>
      </w:pPr>
    </w:p>
    <w:p>
      <w:pPr>
        <w:pStyle w:val="49"/>
        <w:shd w:val="clear" w:color="auto" w:fill="FFFFFF"/>
        <w:spacing w:before="0" w:beforeAutospacing="0" w:after="0" w:afterAutospacing="0" w:line="360" w:lineRule="auto"/>
        <w:rPr>
          <w:b/>
          <w:color w:val="auto"/>
          <w:sz w:val="28"/>
        </w:rPr>
      </w:pPr>
      <w:r>
        <w:rPr>
          <w:rFonts w:hint="eastAsia"/>
          <w:b/>
          <w:color w:val="auto"/>
          <w:sz w:val="28"/>
        </w:rPr>
        <w:t>附件5</w:t>
      </w:r>
    </w:p>
    <w:p>
      <w:pPr>
        <w:spacing w:line="360" w:lineRule="auto"/>
        <w:ind w:left="480"/>
        <w:jc w:val="center"/>
        <w:rPr>
          <w:rFonts w:ascii="宋体" w:hAnsi="宋体"/>
          <w:color w:val="auto"/>
          <w:kern w:val="0"/>
          <w:sz w:val="32"/>
          <w:szCs w:val="32"/>
        </w:rPr>
      </w:pPr>
      <w:r>
        <w:rPr>
          <w:rFonts w:hint="eastAsia" w:ascii="宋体" w:hAnsi="宋体"/>
          <w:color w:val="auto"/>
          <w:kern w:val="0"/>
          <w:sz w:val="32"/>
          <w:szCs w:val="32"/>
        </w:rPr>
        <w:t>投标人情况介绍</w:t>
      </w:r>
    </w:p>
    <w:tbl>
      <w:tblPr>
        <w:tblStyle w:val="29"/>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718"/>
        <w:gridCol w:w="796"/>
        <w:gridCol w:w="513"/>
        <w:gridCol w:w="621"/>
        <w:gridCol w:w="708"/>
        <w:gridCol w:w="184"/>
        <w:gridCol w:w="1041"/>
        <w:gridCol w:w="290"/>
        <w:gridCol w:w="1122"/>
        <w:gridCol w:w="4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22" w:type="dxa"/>
          </w:tcPr>
          <w:p>
            <w:pPr>
              <w:pStyle w:val="49"/>
              <w:shd w:val="clear" w:color="auto" w:fill="FFFFFF"/>
              <w:spacing w:before="0" w:beforeAutospacing="0" w:after="0" w:afterAutospacing="0"/>
              <w:rPr>
                <w:bCs/>
                <w:color w:val="auto"/>
              </w:rPr>
            </w:pPr>
            <w:r>
              <w:rPr>
                <w:rFonts w:hint="eastAsia"/>
                <w:bCs/>
                <w:color w:val="auto"/>
                <w:spacing w:val="27"/>
              </w:rPr>
              <w:t>企业名称</w:t>
            </w:r>
          </w:p>
        </w:tc>
        <w:tc>
          <w:tcPr>
            <w:tcW w:w="4356" w:type="dxa"/>
            <w:gridSpan w:val="5"/>
          </w:tcPr>
          <w:p>
            <w:pPr>
              <w:pStyle w:val="49"/>
              <w:shd w:val="clear" w:color="auto" w:fill="FFFFFF"/>
              <w:spacing w:before="0" w:beforeAutospacing="0" w:after="0" w:afterAutospacing="0"/>
              <w:rPr>
                <w:bCs/>
                <w:color w:val="auto"/>
              </w:rPr>
            </w:pPr>
          </w:p>
        </w:tc>
        <w:tc>
          <w:tcPr>
            <w:tcW w:w="1515" w:type="dxa"/>
            <w:gridSpan w:val="3"/>
          </w:tcPr>
          <w:p>
            <w:pPr>
              <w:pStyle w:val="49"/>
              <w:shd w:val="clear" w:color="auto" w:fill="FFFFFF"/>
              <w:spacing w:before="0" w:beforeAutospacing="0" w:after="0" w:afterAutospacing="0"/>
              <w:rPr>
                <w:bCs/>
                <w:color w:val="auto"/>
              </w:rPr>
            </w:pPr>
            <w:r>
              <w:rPr>
                <w:rFonts w:hint="eastAsia"/>
                <w:bCs/>
                <w:color w:val="auto"/>
                <w:spacing w:val="16"/>
              </w:rPr>
              <w:t>法人代表</w:t>
            </w:r>
          </w:p>
        </w:tc>
        <w:tc>
          <w:tcPr>
            <w:tcW w:w="2113" w:type="dxa"/>
            <w:gridSpan w:val="3"/>
          </w:tcPr>
          <w:p>
            <w:pPr>
              <w:pStyle w:val="49"/>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2" w:type="dxa"/>
          </w:tcPr>
          <w:p>
            <w:pPr>
              <w:pStyle w:val="49"/>
              <w:shd w:val="clear" w:color="auto" w:fill="FFFFFF"/>
              <w:spacing w:before="0" w:beforeAutospacing="0" w:after="0" w:afterAutospacing="0"/>
              <w:rPr>
                <w:bCs/>
                <w:color w:val="auto"/>
                <w:spacing w:val="16"/>
              </w:rPr>
            </w:pPr>
            <w:r>
              <w:rPr>
                <w:rFonts w:hint="eastAsia"/>
                <w:bCs/>
                <w:color w:val="auto"/>
                <w:spacing w:val="27"/>
              </w:rPr>
              <w:t>地址</w:t>
            </w:r>
          </w:p>
        </w:tc>
        <w:tc>
          <w:tcPr>
            <w:tcW w:w="4356" w:type="dxa"/>
            <w:gridSpan w:val="5"/>
            <w:tcBorders>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tcPr>
          <w:p>
            <w:pPr>
              <w:pStyle w:val="49"/>
              <w:shd w:val="clear" w:color="auto" w:fill="FFFFFF"/>
              <w:spacing w:before="0" w:beforeAutospacing="0" w:after="0" w:afterAutospacing="0"/>
              <w:rPr>
                <w:bCs/>
                <w:color w:val="auto"/>
                <w:spacing w:val="16"/>
              </w:rPr>
            </w:pPr>
            <w:r>
              <w:rPr>
                <w:rFonts w:hint="eastAsia"/>
                <w:bCs/>
                <w:color w:val="auto"/>
                <w:spacing w:val="16"/>
              </w:rPr>
              <w:t>企业性质</w:t>
            </w:r>
          </w:p>
        </w:tc>
        <w:tc>
          <w:tcPr>
            <w:tcW w:w="2113" w:type="dxa"/>
            <w:gridSpan w:val="3"/>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22" w:type="dxa"/>
            <w:tcBorders>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27"/>
              </w:rPr>
              <w:t>股东姓名</w:t>
            </w:r>
          </w:p>
        </w:tc>
        <w:tc>
          <w:tcPr>
            <w:tcW w:w="1718" w:type="dxa"/>
            <w:tcBorders>
              <w:bottom w:val="single" w:color="auto" w:sz="4" w:space="0"/>
            </w:tcBorders>
          </w:tcPr>
          <w:p>
            <w:pPr>
              <w:pStyle w:val="49"/>
              <w:shd w:val="clear" w:color="auto" w:fill="FFFFFF"/>
              <w:spacing w:before="0" w:beforeAutospacing="0" w:after="0" w:afterAutospacing="0"/>
              <w:rPr>
                <w:bCs/>
                <w:color w:val="auto"/>
                <w:spacing w:val="16"/>
              </w:rPr>
            </w:pPr>
          </w:p>
        </w:tc>
        <w:tc>
          <w:tcPr>
            <w:tcW w:w="1309" w:type="dxa"/>
            <w:gridSpan w:val="2"/>
            <w:tcBorders>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16"/>
              </w:rPr>
              <w:t>股权结构（%）</w:t>
            </w:r>
          </w:p>
        </w:tc>
        <w:tc>
          <w:tcPr>
            <w:tcW w:w="1329" w:type="dxa"/>
            <w:gridSpan w:val="2"/>
            <w:tcBorders>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tcPr>
          <w:p>
            <w:pPr>
              <w:pStyle w:val="49"/>
              <w:shd w:val="clear" w:color="auto" w:fill="FFFFFF"/>
              <w:spacing w:before="0" w:beforeAutospacing="0" w:after="0" w:afterAutospacing="0"/>
              <w:rPr>
                <w:bCs/>
                <w:color w:val="auto"/>
                <w:spacing w:val="16"/>
              </w:rPr>
            </w:pPr>
            <w:r>
              <w:rPr>
                <w:rFonts w:hint="eastAsia"/>
                <w:bCs/>
                <w:color w:val="auto"/>
                <w:spacing w:val="16"/>
              </w:rPr>
              <w:t>股东关系</w:t>
            </w:r>
          </w:p>
        </w:tc>
        <w:tc>
          <w:tcPr>
            <w:tcW w:w="2113" w:type="dxa"/>
            <w:gridSpan w:val="3"/>
          </w:tcPr>
          <w:p>
            <w:pPr>
              <w:pStyle w:val="49"/>
              <w:shd w:val="clear" w:color="auto" w:fill="FFFFFF"/>
              <w:spacing w:before="0" w:beforeAutospacing="0" w:after="0" w:afterAutospacing="0"/>
              <w:ind w:left="107"/>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2" w:type="dxa"/>
            <w:vMerge w:val="restart"/>
          </w:tcPr>
          <w:p>
            <w:pPr>
              <w:pStyle w:val="49"/>
              <w:shd w:val="clear" w:color="auto" w:fill="FFFFFF"/>
              <w:spacing w:before="0" w:beforeAutospacing="0" w:after="0" w:afterAutospacing="0"/>
              <w:rPr>
                <w:bCs/>
                <w:color w:val="auto"/>
                <w:spacing w:val="16"/>
              </w:rPr>
            </w:pPr>
            <w:r>
              <w:rPr>
                <w:rFonts w:hint="eastAsia"/>
                <w:bCs/>
                <w:color w:val="auto"/>
                <w:spacing w:val="12"/>
              </w:rPr>
              <w:t>联系人</w:t>
            </w:r>
            <w:r>
              <w:rPr>
                <w:rFonts w:hint="eastAsia"/>
                <w:bCs/>
                <w:color w:val="auto"/>
                <w:spacing w:val="27"/>
              </w:rPr>
              <w:t>姓名</w:t>
            </w:r>
          </w:p>
        </w:tc>
        <w:tc>
          <w:tcPr>
            <w:tcW w:w="1718" w:type="dxa"/>
            <w:vMerge w:val="restart"/>
            <w:tcBorders>
              <w:top w:val="nil"/>
            </w:tcBorders>
          </w:tcPr>
          <w:p>
            <w:pPr>
              <w:pStyle w:val="49"/>
              <w:shd w:val="clear" w:color="auto" w:fill="FFFFFF"/>
              <w:spacing w:before="0" w:beforeAutospacing="0" w:after="0" w:afterAutospacing="0"/>
              <w:rPr>
                <w:bCs/>
                <w:color w:val="auto"/>
                <w:spacing w:val="16"/>
              </w:rPr>
            </w:pPr>
          </w:p>
        </w:tc>
        <w:tc>
          <w:tcPr>
            <w:tcW w:w="1309" w:type="dxa"/>
            <w:gridSpan w:val="2"/>
            <w:tcBorders>
              <w:top w:val="nil"/>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16"/>
              </w:rPr>
              <w:t>固定电话</w:t>
            </w:r>
          </w:p>
        </w:tc>
        <w:tc>
          <w:tcPr>
            <w:tcW w:w="1329" w:type="dxa"/>
            <w:gridSpan w:val="2"/>
            <w:tcBorders>
              <w:top w:val="nil"/>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vMerge w:val="restart"/>
          </w:tcPr>
          <w:p>
            <w:pPr>
              <w:pStyle w:val="49"/>
              <w:shd w:val="clear" w:color="auto" w:fill="FFFFFF"/>
              <w:spacing w:before="0" w:beforeAutospacing="0" w:after="0" w:afterAutospacing="0"/>
              <w:rPr>
                <w:bCs/>
                <w:color w:val="auto"/>
                <w:spacing w:val="16"/>
              </w:rPr>
            </w:pPr>
            <w:r>
              <w:rPr>
                <w:rFonts w:hint="eastAsia"/>
                <w:bCs/>
                <w:color w:val="auto"/>
                <w:spacing w:val="16"/>
              </w:rPr>
              <w:t>传真</w:t>
            </w:r>
          </w:p>
        </w:tc>
        <w:tc>
          <w:tcPr>
            <w:tcW w:w="2113" w:type="dxa"/>
            <w:gridSpan w:val="3"/>
            <w:vMerge w:val="restart"/>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22" w:type="dxa"/>
            <w:vMerge w:val="continue"/>
            <w:tcBorders>
              <w:bottom w:val="single" w:color="auto" w:sz="4" w:space="0"/>
            </w:tcBorders>
          </w:tcPr>
          <w:p>
            <w:pPr>
              <w:pStyle w:val="49"/>
              <w:shd w:val="clear" w:color="auto" w:fill="FFFFFF"/>
              <w:spacing w:before="0" w:beforeAutospacing="0" w:after="0" w:afterAutospacing="0"/>
              <w:ind w:left="107"/>
              <w:rPr>
                <w:bCs/>
                <w:color w:val="auto"/>
              </w:rPr>
            </w:pPr>
          </w:p>
        </w:tc>
        <w:tc>
          <w:tcPr>
            <w:tcW w:w="1718" w:type="dxa"/>
            <w:vMerge w:val="continue"/>
            <w:tcBorders>
              <w:bottom w:val="single" w:color="auto" w:sz="4" w:space="0"/>
            </w:tcBorders>
          </w:tcPr>
          <w:p>
            <w:pPr>
              <w:pStyle w:val="49"/>
              <w:shd w:val="clear" w:color="auto" w:fill="FFFFFF"/>
              <w:spacing w:before="0" w:beforeAutospacing="0" w:after="0" w:afterAutospacing="0"/>
              <w:rPr>
                <w:bCs/>
                <w:color w:val="auto"/>
                <w:spacing w:val="16"/>
              </w:rPr>
            </w:pPr>
          </w:p>
        </w:tc>
        <w:tc>
          <w:tcPr>
            <w:tcW w:w="1309" w:type="dxa"/>
            <w:gridSpan w:val="2"/>
            <w:tcBorders>
              <w:bottom w:val="single" w:color="auto" w:sz="4" w:space="0"/>
            </w:tcBorders>
          </w:tcPr>
          <w:p>
            <w:pPr>
              <w:pStyle w:val="49"/>
              <w:shd w:val="clear" w:color="auto" w:fill="FFFFFF"/>
              <w:spacing w:before="0" w:beforeAutospacing="0" w:after="0" w:afterAutospacing="0"/>
              <w:rPr>
                <w:bCs/>
                <w:color w:val="auto"/>
                <w:spacing w:val="16"/>
              </w:rPr>
            </w:pPr>
            <w:r>
              <w:rPr>
                <w:rFonts w:hint="eastAsia"/>
                <w:bCs/>
                <w:color w:val="auto"/>
                <w:spacing w:val="27"/>
              </w:rPr>
              <w:t>手机</w:t>
            </w:r>
          </w:p>
        </w:tc>
        <w:tc>
          <w:tcPr>
            <w:tcW w:w="1329" w:type="dxa"/>
            <w:gridSpan w:val="2"/>
            <w:tcBorders>
              <w:bottom w:val="single" w:color="auto" w:sz="4" w:space="0"/>
            </w:tcBorders>
          </w:tcPr>
          <w:p>
            <w:pPr>
              <w:pStyle w:val="49"/>
              <w:shd w:val="clear" w:color="auto" w:fill="FFFFFF"/>
              <w:spacing w:before="0" w:beforeAutospacing="0" w:after="0" w:afterAutospacing="0"/>
              <w:rPr>
                <w:bCs/>
                <w:color w:val="auto"/>
                <w:spacing w:val="16"/>
              </w:rPr>
            </w:pPr>
          </w:p>
        </w:tc>
        <w:tc>
          <w:tcPr>
            <w:tcW w:w="1515" w:type="dxa"/>
            <w:gridSpan w:val="3"/>
            <w:vMerge w:val="continue"/>
          </w:tcPr>
          <w:p>
            <w:pPr>
              <w:pStyle w:val="49"/>
              <w:shd w:val="clear" w:color="auto" w:fill="FFFFFF"/>
              <w:spacing w:before="0" w:beforeAutospacing="0" w:after="0" w:afterAutospacing="0"/>
              <w:rPr>
                <w:bCs/>
                <w:color w:val="auto"/>
                <w:spacing w:val="16"/>
              </w:rPr>
            </w:pPr>
          </w:p>
        </w:tc>
        <w:tc>
          <w:tcPr>
            <w:tcW w:w="2113" w:type="dxa"/>
            <w:gridSpan w:val="3"/>
            <w:vMerge w:val="continue"/>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22" w:type="dxa"/>
            <w:vMerge w:val="restart"/>
          </w:tcPr>
          <w:p>
            <w:pPr>
              <w:pStyle w:val="49"/>
              <w:shd w:val="clear" w:color="auto" w:fill="FFFFFF"/>
              <w:spacing w:before="0" w:beforeAutospacing="0" w:after="0" w:afterAutospacing="0"/>
              <w:ind w:left="107"/>
              <w:rPr>
                <w:bCs/>
                <w:color w:val="auto"/>
              </w:rPr>
            </w:pPr>
            <w:r>
              <w:rPr>
                <w:bCs/>
                <w:color w:val="auto"/>
              </w:rPr>
              <w:t>1</w:t>
            </w:r>
            <w:r>
              <w:rPr>
                <w:rFonts w:hint="eastAsia"/>
                <w:bCs/>
                <w:color w:val="auto"/>
              </w:rPr>
              <w:t>.企业</w:t>
            </w:r>
            <w:r>
              <w:rPr>
                <w:rFonts w:hint="eastAsia"/>
                <w:bCs/>
                <w:color w:val="auto"/>
                <w:spacing w:val="27"/>
              </w:rPr>
              <w:t>概况</w:t>
            </w:r>
          </w:p>
        </w:tc>
        <w:tc>
          <w:tcPr>
            <w:tcW w:w="1718" w:type="dxa"/>
            <w:tcBorders>
              <w:top w:val="nil"/>
            </w:tcBorders>
          </w:tcPr>
          <w:p>
            <w:pPr>
              <w:pStyle w:val="49"/>
              <w:shd w:val="clear" w:color="auto" w:fill="FFFFFF"/>
              <w:spacing w:before="0" w:beforeAutospacing="0" w:after="0" w:afterAutospacing="0"/>
              <w:rPr>
                <w:bCs/>
                <w:color w:val="auto"/>
                <w:spacing w:val="16"/>
              </w:rPr>
            </w:pPr>
            <w:r>
              <w:rPr>
                <w:rFonts w:hint="eastAsia"/>
                <w:bCs/>
                <w:color w:val="auto"/>
                <w:spacing w:val="16"/>
              </w:rPr>
              <w:t>职工人数</w:t>
            </w:r>
          </w:p>
        </w:tc>
        <w:tc>
          <w:tcPr>
            <w:tcW w:w="1309" w:type="dxa"/>
            <w:gridSpan w:val="2"/>
            <w:tcBorders>
              <w:top w:val="nil"/>
            </w:tcBorders>
          </w:tcPr>
          <w:p>
            <w:pPr>
              <w:pStyle w:val="49"/>
              <w:shd w:val="clear" w:color="auto" w:fill="FFFFFF"/>
              <w:spacing w:before="0" w:beforeAutospacing="0" w:after="0" w:afterAutospacing="0"/>
              <w:rPr>
                <w:bCs/>
                <w:color w:val="auto"/>
                <w:spacing w:val="16"/>
              </w:rPr>
            </w:pPr>
          </w:p>
        </w:tc>
        <w:tc>
          <w:tcPr>
            <w:tcW w:w="1329" w:type="dxa"/>
            <w:gridSpan w:val="2"/>
            <w:tcBorders>
              <w:top w:val="nil"/>
            </w:tcBorders>
          </w:tcPr>
          <w:p>
            <w:pPr>
              <w:pStyle w:val="49"/>
              <w:shd w:val="clear" w:color="auto" w:fill="FFFFFF"/>
              <w:spacing w:before="0" w:beforeAutospacing="0" w:after="0" w:afterAutospacing="0"/>
              <w:rPr>
                <w:bCs/>
                <w:color w:val="auto"/>
              </w:rPr>
            </w:pPr>
            <w:r>
              <w:rPr>
                <w:rFonts w:hint="eastAsia"/>
                <w:bCs/>
                <w:color w:val="auto"/>
                <w:spacing w:val="18"/>
              </w:rPr>
              <w:t>具备大专以</w:t>
            </w:r>
            <w:r>
              <w:rPr>
                <w:rFonts w:hint="eastAsia"/>
                <w:bCs/>
                <w:color w:val="auto"/>
                <w:spacing w:val="12"/>
              </w:rPr>
              <w:t>上学历人数</w:t>
            </w:r>
          </w:p>
        </w:tc>
        <w:tc>
          <w:tcPr>
            <w:tcW w:w="1515" w:type="dxa"/>
            <w:gridSpan w:val="3"/>
            <w:tcBorders>
              <w:top w:val="nil"/>
            </w:tcBorders>
          </w:tcPr>
          <w:p>
            <w:pPr>
              <w:widowControl/>
              <w:jc w:val="left"/>
              <w:rPr>
                <w:rFonts w:ascii="宋体" w:hAnsi="宋体" w:cs="宋体"/>
                <w:bCs/>
                <w:color w:val="auto"/>
                <w:spacing w:val="16"/>
                <w:kern w:val="0"/>
                <w:sz w:val="24"/>
              </w:rPr>
            </w:pPr>
          </w:p>
          <w:p>
            <w:pPr>
              <w:pStyle w:val="49"/>
              <w:shd w:val="clear" w:color="auto" w:fill="FFFFFF"/>
              <w:spacing w:before="0" w:beforeAutospacing="0" w:after="0" w:afterAutospacing="0"/>
              <w:rPr>
                <w:bCs/>
                <w:color w:val="auto"/>
                <w:spacing w:val="16"/>
              </w:rPr>
            </w:pPr>
          </w:p>
        </w:tc>
        <w:tc>
          <w:tcPr>
            <w:tcW w:w="1550" w:type="dxa"/>
            <w:gridSpan w:val="2"/>
          </w:tcPr>
          <w:p>
            <w:pPr>
              <w:pStyle w:val="49"/>
              <w:shd w:val="clear" w:color="auto" w:fill="FFFFFF"/>
              <w:spacing w:before="0" w:beforeAutospacing="0" w:after="0" w:afterAutospacing="0"/>
              <w:rPr>
                <w:bCs/>
                <w:color w:val="auto"/>
                <w:spacing w:val="16"/>
              </w:rPr>
            </w:pPr>
            <w:r>
              <w:rPr>
                <w:rFonts w:hint="eastAsia"/>
                <w:bCs/>
                <w:color w:val="auto"/>
                <w:spacing w:val="16"/>
              </w:rPr>
              <w:t>国家授予技术职称人数</w:t>
            </w:r>
          </w:p>
        </w:tc>
        <w:tc>
          <w:tcPr>
            <w:tcW w:w="563" w:type="dxa"/>
          </w:tcPr>
          <w:p>
            <w:pPr>
              <w:widowControl/>
              <w:jc w:val="left"/>
              <w:rPr>
                <w:rFonts w:ascii="宋体" w:hAnsi="宋体" w:cs="宋体"/>
                <w:bCs/>
                <w:color w:val="auto"/>
                <w:spacing w:val="16"/>
                <w:kern w:val="0"/>
                <w:sz w:val="24"/>
              </w:rPr>
            </w:pPr>
          </w:p>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422" w:type="dxa"/>
            <w:vMerge w:val="continue"/>
          </w:tcPr>
          <w:p>
            <w:pPr>
              <w:pStyle w:val="49"/>
              <w:shd w:val="clear" w:color="auto" w:fill="FFFFFF"/>
              <w:spacing w:before="0" w:beforeAutospacing="0" w:after="0" w:afterAutospacing="0"/>
              <w:ind w:left="107"/>
              <w:rPr>
                <w:bCs/>
                <w:color w:val="auto"/>
              </w:rPr>
            </w:pPr>
          </w:p>
        </w:tc>
        <w:tc>
          <w:tcPr>
            <w:tcW w:w="1718" w:type="dxa"/>
          </w:tcPr>
          <w:p>
            <w:pPr>
              <w:pStyle w:val="49"/>
              <w:shd w:val="clear" w:color="auto" w:fill="FFFFFF"/>
              <w:spacing w:before="0" w:beforeAutospacing="0" w:after="0" w:afterAutospacing="0"/>
              <w:rPr>
                <w:bCs/>
                <w:color w:val="auto"/>
              </w:rPr>
            </w:pPr>
            <w:r>
              <w:rPr>
                <w:rFonts w:hint="eastAsia"/>
                <w:bCs/>
                <w:color w:val="auto"/>
                <w:spacing w:val="16"/>
              </w:rPr>
              <w:t>占地面积</w:t>
            </w:r>
          </w:p>
        </w:tc>
        <w:tc>
          <w:tcPr>
            <w:tcW w:w="1309" w:type="dxa"/>
            <w:gridSpan w:val="2"/>
          </w:tcPr>
          <w:p>
            <w:pPr>
              <w:pStyle w:val="49"/>
              <w:shd w:val="clear" w:color="auto" w:fill="FFFFFF"/>
              <w:spacing w:before="0" w:beforeAutospacing="0" w:after="0" w:afterAutospacing="0"/>
              <w:rPr>
                <w:bCs/>
                <w:color w:val="auto"/>
              </w:rPr>
            </w:pPr>
          </w:p>
        </w:tc>
        <w:tc>
          <w:tcPr>
            <w:tcW w:w="1329" w:type="dxa"/>
            <w:gridSpan w:val="2"/>
          </w:tcPr>
          <w:p>
            <w:pPr>
              <w:pStyle w:val="49"/>
              <w:shd w:val="clear" w:color="auto" w:fill="FFFFFF"/>
              <w:spacing w:before="0" w:beforeAutospacing="0" w:after="0" w:afterAutospacing="0"/>
              <w:rPr>
                <w:bCs/>
                <w:color w:val="auto"/>
              </w:rPr>
            </w:pPr>
            <w:r>
              <w:rPr>
                <w:rFonts w:hint="eastAsia"/>
                <w:bCs/>
                <w:color w:val="auto"/>
                <w:spacing w:val="16"/>
              </w:rPr>
              <w:t>建筑面积</w:t>
            </w:r>
          </w:p>
        </w:tc>
        <w:tc>
          <w:tcPr>
            <w:tcW w:w="1515" w:type="dxa"/>
            <w:gridSpan w:val="3"/>
          </w:tcPr>
          <w:p>
            <w:pPr>
              <w:pStyle w:val="49"/>
              <w:shd w:val="clear" w:color="auto" w:fill="FFFFFF"/>
              <w:spacing w:before="0" w:beforeAutospacing="0" w:after="0" w:afterAutospacing="0"/>
              <w:ind w:firstLine="480" w:firstLineChars="200"/>
              <w:rPr>
                <w:bCs/>
                <w:color w:val="auto"/>
              </w:rPr>
            </w:pPr>
            <w:r>
              <w:rPr>
                <w:rFonts w:hint="eastAsia"/>
                <w:bCs/>
                <w:color w:val="auto"/>
              </w:rPr>
              <w:t xml:space="preserve">平方米 </w:t>
            </w:r>
          </w:p>
          <w:p>
            <w:pPr>
              <w:pStyle w:val="49"/>
              <w:shd w:val="clear" w:color="auto" w:fill="FFFFFF"/>
              <w:spacing w:before="0" w:beforeAutospacing="0" w:after="0" w:afterAutospacing="0"/>
              <w:rPr>
                <w:bCs/>
                <w:color w:val="auto"/>
              </w:rPr>
            </w:pPr>
            <w:r>
              <w:rPr>
                <w:rFonts w:hint="eastAsia"/>
                <w:bCs/>
                <w:color w:val="auto"/>
                <w:spacing w:val="16"/>
              </w:rPr>
              <w:t>□自有□租賃</w:t>
            </w:r>
          </w:p>
        </w:tc>
        <w:tc>
          <w:tcPr>
            <w:tcW w:w="1550" w:type="dxa"/>
            <w:gridSpan w:val="2"/>
          </w:tcPr>
          <w:p>
            <w:pPr>
              <w:pStyle w:val="49"/>
              <w:shd w:val="clear" w:color="auto" w:fill="FFFFFF"/>
              <w:spacing w:before="0" w:beforeAutospacing="0" w:after="0" w:afterAutospacing="0"/>
              <w:rPr>
                <w:bCs/>
                <w:color w:val="auto"/>
              </w:rPr>
            </w:pPr>
            <w:r>
              <w:rPr>
                <w:rFonts w:hint="eastAsia"/>
                <w:bCs/>
                <w:color w:val="auto"/>
                <w:spacing w:val="16"/>
              </w:rPr>
              <w:t>生产经营场所及场所的设施与设备</w:t>
            </w:r>
          </w:p>
        </w:tc>
        <w:tc>
          <w:tcPr>
            <w:tcW w:w="563" w:type="dxa"/>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22" w:type="dxa"/>
            <w:vMerge w:val="continue"/>
          </w:tcPr>
          <w:p>
            <w:pPr>
              <w:pStyle w:val="49"/>
              <w:shd w:val="clear" w:color="auto" w:fill="FFFFFF"/>
              <w:spacing w:before="0" w:beforeAutospacing="0" w:after="0" w:afterAutospacing="0"/>
              <w:ind w:left="107"/>
              <w:rPr>
                <w:bCs/>
                <w:color w:val="auto"/>
              </w:rPr>
            </w:pPr>
          </w:p>
        </w:tc>
        <w:tc>
          <w:tcPr>
            <w:tcW w:w="1718" w:type="dxa"/>
          </w:tcPr>
          <w:p>
            <w:pPr>
              <w:pStyle w:val="49"/>
              <w:shd w:val="clear" w:color="auto" w:fill="FFFFFF"/>
              <w:spacing w:before="0" w:beforeAutospacing="0" w:after="0" w:afterAutospacing="0"/>
              <w:ind w:left="2"/>
              <w:rPr>
                <w:bCs/>
                <w:color w:val="auto"/>
                <w:spacing w:val="16"/>
              </w:rPr>
            </w:pPr>
            <w:r>
              <w:rPr>
                <w:rFonts w:hint="eastAsia"/>
                <w:bCs/>
                <w:color w:val="auto"/>
                <w:spacing w:val="16"/>
              </w:rPr>
              <w:t>注册资金</w:t>
            </w:r>
          </w:p>
        </w:tc>
        <w:tc>
          <w:tcPr>
            <w:tcW w:w="1309" w:type="dxa"/>
            <w:gridSpan w:val="2"/>
          </w:tcPr>
          <w:p>
            <w:pPr>
              <w:pStyle w:val="49"/>
              <w:shd w:val="clear" w:color="auto" w:fill="FFFFFF"/>
              <w:spacing w:before="0" w:beforeAutospacing="0" w:after="0" w:afterAutospacing="0"/>
              <w:ind w:left="2"/>
              <w:rPr>
                <w:bCs/>
                <w:color w:val="auto"/>
              </w:rPr>
            </w:pPr>
          </w:p>
        </w:tc>
        <w:tc>
          <w:tcPr>
            <w:tcW w:w="1329" w:type="dxa"/>
            <w:gridSpan w:val="2"/>
          </w:tcPr>
          <w:p>
            <w:pPr>
              <w:pStyle w:val="49"/>
              <w:shd w:val="clear" w:color="auto" w:fill="FFFFFF"/>
              <w:spacing w:before="0" w:beforeAutospacing="0" w:after="0" w:afterAutospacing="0"/>
              <w:ind w:left="107"/>
              <w:rPr>
                <w:bCs/>
                <w:color w:val="auto"/>
              </w:rPr>
            </w:pPr>
            <w:r>
              <w:rPr>
                <w:rFonts w:hint="eastAsia"/>
                <w:bCs/>
                <w:color w:val="auto"/>
                <w:spacing w:val="16"/>
              </w:rPr>
              <w:t>注册发证</w:t>
            </w:r>
            <w:r>
              <w:rPr>
                <w:rFonts w:hint="eastAsia"/>
                <w:bCs/>
                <w:color w:val="auto"/>
                <w:spacing w:val="27"/>
              </w:rPr>
              <w:t>机关</w:t>
            </w:r>
          </w:p>
        </w:tc>
        <w:tc>
          <w:tcPr>
            <w:tcW w:w="1515" w:type="dxa"/>
            <w:gridSpan w:val="3"/>
          </w:tcPr>
          <w:p>
            <w:pPr>
              <w:widowControl/>
              <w:jc w:val="left"/>
              <w:rPr>
                <w:rFonts w:ascii="宋体" w:hAnsi="宋体" w:cs="宋体"/>
                <w:bCs/>
                <w:color w:val="auto"/>
                <w:kern w:val="0"/>
                <w:sz w:val="24"/>
              </w:rPr>
            </w:pPr>
          </w:p>
          <w:p>
            <w:pPr>
              <w:pStyle w:val="49"/>
              <w:shd w:val="clear" w:color="auto" w:fill="FFFFFF"/>
              <w:spacing w:before="0" w:beforeAutospacing="0" w:after="0" w:afterAutospacing="0"/>
              <w:ind w:left="107"/>
              <w:rPr>
                <w:bCs/>
                <w:color w:val="auto"/>
              </w:rPr>
            </w:pPr>
          </w:p>
        </w:tc>
        <w:tc>
          <w:tcPr>
            <w:tcW w:w="1550" w:type="dxa"/>
            <w:gridSpan w:val="2"/>
          </w:tcPr>
          <w:p>
            <w:pPr>
              <w:pStyle w:val="49"/>
              <w:shd w:val="clear" w:color="auto" w:fill="FFFFFF"/>
              <w:spacing w:before="0" w:beforeAutospacing="0" w:after="0" w:afterAutospacing="0"/>
              <w:rPr>
                <w:bCs/>
                <w:color w:val="auto"/>
              </w:rPr>
            </w:pPr>
            <w:r>
              <w:rPr>
                <w:rFonts w:hint="eastAsia"/>
                <w:bCs/>
                <w:color w:val="auto"/>
              </w:rPr>
              <w:t>公司成</w:t>
            </w:r>
            <w:r>
              <w:rPr>
                <w:rFonts w:hint="eastAsia"/>
                <w:bCs/>
                <w:color w:val="auto"/>
                <w:spacing w:val="12"/>
              </w:rPr>
              <w:t>立时间</w:t>
            </w:r>
          </w:p>
        </w:tc>
        <w:tc>
          <w:tcPr>
            <w:tcW w:w="563" w:type="dxa"/>
          </w:tcPr>
          <w:p>
            <w:pPr>
              <w:pStyle w:val="49"/>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422" w:type="dxa"/>
            <w:vMerge w:val="continue"/>
          </w:tcPr>
          <w:p>
            <w:pPr>
              <w:pStyle w:val="49"/>
              <w:shd w:val="clear" w:color="auto" w:fill="FFFFFF"/>
              <w:spacing w:before="0" w:beforeAutospacing="0" w:after="0" w:afterAutospacing="0"/>
              <w:ind w:left="107"/>
              <w:rPr>
                <w:bCs/>
                <w:color w:val="auto"/>
              </w:rPr>
            </w:pPr>
          </w:p>
        </w:tc>
        <w:tc>
          <w:tcPr>
            <w:tcW w:w="1718" w:type="dxa"/>
          </w:tcPr>
          <w:p>
            <w:pPr>
              <w:pStyle w:val="49"/>
              <w:shd w:val="clear" w:color="auto" w:fill="FFFFFF"/>
              <w:spacing w:before="0" w:beforeAutospacing="0" w:after="0" w:afterAutospacing="0"/>
              <w:ind w:left="2"/>
              <w:rPr>
                <w:bCs/>
                <w:color w:val="auto"/>
              </w:rPr>
            </w:pPr>
            <w:r>
              <w:rPr>
                <w:rFonts w:hint="eastAsia"/>
                <w:bCs/>
                <w:color w:val="auto"/>
              </w:rPr>
              <w:t>核准经营范围</w:t>
            </w:r>
          </w:p>
        </w:tc>
        <w:tc>
          <w:tcPr>
            <w:tcW w:w="6266" w:type="dxa"/>
            <w:gridSpan w:val="10"/>
          </w:tcPr>
          <w:p>
            <w:pPr>
              <w:pStyle w:val="49"/>
              <w:shd w:val="clear" w:color="auto" w:fill="FFFFFF"/>
              <w:spacing w:before="0" w:beforeAutospacing="0" w:after="0" w:afterAutospacing="0"/>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2" w:type="dxa"/>
            <w:vMerge w:val="continue"/>
          </w:tcPr>
          <w:p>
            <w:pPr>
              <w:pStyle w:val="49"/>
              <w:shd w:val="clear" w:color="auto" w:fill="FFFFFF"/>
              <w:spacing w:before="0" w:beforeAutospacing="0" w:after="0" w:afterAutospacing="0"/>
              <w:ind w:left="107"/>
              <w:rPr>
                <w:bCs/>
                <w:color w:val="auto"/>
              </w:rPr>
            </w:pPr>
          </w:p>
        </w:tc>
        <w:tc>
          <w:tcPr>
            <w:tcW w:w="7984" w:type="dxa"/>
            <w:gridSpan w:val="11"/>
          </w:tcPr>
          <w:p>
            <w:pPr>
              <w:pStyle w:val="49"/>
              <w:shd w:val="clear" w:color="auto" w:fill="FFFFFF"/>
              <w:spacing w:before="0" w:beforeAutospacing="0" w:after="0" w:afterAutospacing="0"/>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2" w:type="dxa"/>
            <w:vMerge w:val="restart"/>
          </w:tcPr>
          <w:p>
            <w:pPr>
              <w:pStyle w:val="49"/>
              <w:shd w:val="clear" w:color="auto" w:fill="FFFFFF"/>
              <w:spacing w:before="0" w:beforeAutospacing="0" w:after="0" w:afterAutospacing="0"/>
              <w:ind w:left="107"/>
              <w:rPr>
                <w:bCs/>
                <w:color w:val="auto"/>
              </w:rPr>
            </w:pPr>
            <w:r>
              <w:rPr>
                <w:bCs/>
                <w:color w:val="auto"/>
              </w:rPr>
              <w:t>2</w:t>
            </w:r>
            <w:r>
              <w:rPr>
                <w:rFonts w:hint="eastAsia"/>
                <w:bCs/>
                <w:color w:val="auto"/>
              </w:rPr>
              <w:t>．企</w:t>
            </w:r>
            <w:r>
              <w:rPr>
                <w:rFonts w:hint="eastAsia"/>
                <w:bCs/>
                <w:color w:val="auto"/>
                <w:spacing w:val="12"/>
              </w:rPr>
              <w:t>业有关资质获证情况</w:t>
            </w:r>
          </w:p>
        </w:tc>
        <w:tc>
          <w:tcPr>
            <w:tcW w:w="2514" w:type="dxa"/>
            <w:gridSpan w:val="2"/>
            <w:vMerge w:val="restart"/>
          </w:tcPr>
          <w:p>
            <w:pPr>
              <w:pStyle w:val="49"/>
              <w:shd w:val="clear" w:color="auto" w:fill="FFFFFF"/>
              <w:spacing w:before="0" w:beforeAutospacing="0" w:after="0" w:afterAutospacing="0"/>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134" w:type="dxa"/>
            <w:gridSpan w:val="2"/>
          </w:tcPr>
          <w:p>
            <w:pPr>
              <w:pStyle w:val="49"/>
              <w:shd w:val="clear" w:color="auto" w:fill="FFFFFF"/>
              <w:spacing w:before="0" w:beforeAutospacing="0" w:after="0" w:afterAutospacing="0"/>
              <w:ind w:right="-78" w:rightChars="-37"/>
              <w:rPr>
                <w:bCs/>
                <w:color w:val="auto"/>
                <w:spacing w:val="16"/>
              </w:rPr>
            </w:pPr>
            <w:r>
              <w:rPr>
                <w:rFonts w:hint="eastAsia"/>
                <w:bCs/>
                <w:color w:val="auto"/>
                <w:spacing w:val="16"/>
              </w:rPr>
              <w:t>产品名称</w:t>
            </w:r>
          </w:p>
        </w:tc>
        <w:tc>
          <w:tcPr>
            <w:tcW w:w="892" w:type="dxa"/>
            <w:gridSpan w:val="2"/>
          </w:tcPr>
          <w:p>
            <w:pPr>
              <w:pStyle w:val="49"/>
              <w:shd w:val="clear" w:color="auto" w:fill="FFFFFF"/>
              <w:spacing w:before="0" w:beforeAutospacing="0" w:after="0" w:afterAutospacing="0"/>
              <w:rPr>
                <w:bCs/>
                <w:color w:val="auto"/>
              </w:rPr>
            </w:pPr>
            <w:r>
              <w:rPr>
                <w:rFonts w:hint="eastAsia"/>
                <w:bCs/>
                <w:color w:val="auto"/>
                <w:spacing w:val="16"/>
              </w:rPr>
              <w:t>发证机关</w:t>
            </w:r>
          </w:p>
        </w:tc>
        <w:tc>
          <w:tcPr>
            <w:tcW w:w="1041" w:type="dxa"/>
          </w:tcPr>
          <w:p>
            <w:pPr>
              <w:pStyle w:val="49"/>
              <w:shd w:val="clear" w:color="auto" w:fill="FFFFFF"/>
              <w:spacing w:before="0" w:beforeAutospacing="0" w:after="0" w:afterAutospacing="0"/>
              <w:jc w:val="center"/>
              <w:rPr>
                <w:bCs/>
                <w:color w:val="auto"/>
              </w:rPr>
            </w:pPr>
            <w:r>
              <w:rPr>
                <w:rFonts w:hint="eastAsia"/>
                <w:bCs/>
                <w:color w:val="auto"/>
                <w:spacing w:val="27"/>
              </w:rPr>
              <w:t>编号</w:t>
            </w:r>
          </w:p>
        </w:tc>
        <w:tc>
          <w:tcPr>
            <w:tcW w:w="1412" w:type="dxa"/>
            <w:gridSpan w:val="2"/>
          </w:tcPr>
          <w:p>
            <w:pPr>
              <w:pStyle w:val="49"/>
              <w:shd w:val="clear" w:color="auto" w:fill="FFFFFF"/>
              <w:spacing w:before="0" w:beforeAutospacing="0" w:after="0" w:afterAutospacing="0"/>
              <w:jc w:val="center"/>
              <w:rPr>
                <w:bCs/>
                <w:color w:val="auto"/>
              </w:rPr>
            </w:pPr>
            <w:r>
              <w:rPr>
                <w:rFonts w:hint="eastAsia"/>
                <w:bCs/>
                <w:color w:val="auto"/>
                <w:spacing w:val="16"/>
              </w:rPr>
              <w:t>发证时间</w:t>
            </w:r>
          </w:p>
        </w:tc>
        <w:tc>
          <w:tcPr>
            <w:tcW w:w="991" w:type="dxa"/>
            <w:gridSpan w:val="2"/>
          </w:tcPr>
          <w:p>
            <w:pPr>
              <w:pStyle w:val="49"/>
              <w:shd w:val="clear" w:color="auto" w:fill="FFFFFF"/>
              <w:spacing w:before="0" w:beforeAutospacing="0" w:after="0" w:afterAutospacing="0"/>
              <w:jc w:val="center"/>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22" w:type="dxa"/>
            <w:vMerge w:val="continue"/>
          </w:tcPr>
          <w:p>
            <w:pPr>
              <w:pStyle w:val="49"/>
              <w:shd w:val="clear" w:color="auto" w:fill="FFFFFF"/>
              <w:spacing w:before="0" w:beforeAutospacing="0" w:after="0" w:afterAutospacing="0"/>
              <w:ind w:left="107"/>
              <w:rPr>
                <w:bCs/>
                <w:color w:val="auto"/>
              </w:rPr>
            </w:pPr>
          </w:p>
        </w:tc>
        <w:tc>
          <w:tcPr>
            <w:tcW w:w="2514" w:type="dxa"/>
            <w:gridSpan w:val="2"/>
            <w:vMerge w:val="continue"/>
          </w:tcPr>
          <w:p>
            <w:pPr>
              <w:pStyle w:val="49"/>
              <w:shd w:val="clear" w:color="auto" w:fill="FFFFFF"/>
              <w:spacing w:before="0" w:beforeAutospacing="0" w:after="0" w:afterAutospacing="0"/>
              <w:rPr>
                <w:bCs/>
                <w:color w:val="auto"/>
              </w:rPr>
            </w:pPr>
          </w:p>
        </w:tc>
        <w:tc>
          <w:tcPr>
            <w:tcW w:w="1134" w:type="dxa"/>
            <w:gridSpan w:val="2"/>
          </w:tcPr>
          <w:p>
            <w:pPr>
              <w:pStyle w:val="49"/>
              <w:shd w:val="clear" w:color="auto" w:fill="FFFFFF"/>
              <w:spacing w:before="0" w:beforeAutospacing="0" w:after="0" w:afterAutospacing="0"/>
              <w:rPr>
                <w:bCs/>
                <w:color w:val="auto"/>
              </w:rPr>
            </w:pPr>
          </w:p>
        </w:tc>
        <w:tc>
          <w:tcPr>
            <w:tcW w:w="892" w:type="dxa"/>
            <w:gridSpan w:val="2"/>
          </w:tcPr>
          <w:p>
            <w:pPr>
              <w:pStyle w:val="49"/>
              <w:shd w:val="clear" w:color="auto" w:fill="FFFFFF"/>
              <w:spacing w:before="0" w:beforeAutospacing="0" w:after="0" w:afterAutospacing="0"/>
              <w:rPr>
                <w:bCs/>
                <w:color w:val="auto"/>
              </w:rPr>
            </w:pPr>
          </w:p>
        </w:tc>
        <w:tc>
          <w:tcPr>
            <w:tcW w:w="1041" w:type="dxa"/>
          </w:tcPr>
          <w:p>
            <w:pPr>
              <w:pStyle w:val="49"/>
              <w:shd w:val="clear" w:color="auto" w:fill="FFFFFF"/>
              <w:spacing w:before="0" w:beforeAutospacing="0" w:after="0" w:afterAutospacing="0"/>
              <w:rPr>
                <w:bCs/>
                <w:color w:val="auto"/>
              </w:rPr>
            </w:pPr>
          </w:p>
        </w:tc>
        <w:tc>
          <w:tcPr>
            <w:tcW w:w="1412" w:type="dxa"/>
            <w:gridSpan w:val="2"/>
          </w:tcPr>
          <w:p>
            <w:pPr>
              <w:pStyle w:val="49"/>
              <w:shd w:val="clear" w:color="auto" w:fill="FFFFFF"/>
              <w:spacing w:before="0" w:beforeAutospacing="0" w:after="0" w:afterAutospacing="0"/>
              <w:rPr>
                <w:bCs/>
                <w:color w:val="auto"/>
              </w:rPr>
            </w:pPr>
          </w:p>
        </w:tc>
        <w:tc>
          <w:tcPr>
            <w:tcW w:w="991" w:type="dxa"/>
            <w:gridSpan w:val="2"/>
          </w:tcPr>
          <w:p>
            <w:pPr>
              <w:pStyle w:val="49"/>
              <w:shd w:val="clear" w:color="auto" w:fill="FFFFFF"/>
              <w:spacing w:before="0" w:beforeAutospacing="0" w:after="0" w:afterAutospacing="0"/>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22" w:type="dxa"/>
            <w:vMerge w:val="continue"/>
          </w:tcPr>
          <w:p>
            <w:pPr>
              <w:pStyle w:val="49"/>
              <w:shd w:val="clear" w:color="auto" w:fill="FFFFFF"/>
              <w:spacing w:before="0" w:beforeAutospacing="0" w:after="0" w:afterAutospacing="0"/>
              <w:ind w:left="107"/>
              <w:rPr>
                <w:bCs/>
                <w:color w:val="auto"/>
                <w:spacing w:val="16"/>
              </w:rPr>
            </w:pPr>
          </w:p>
        </w:tc>
        <w:tc>
          <w:tcPr>
            <w:tcW w:w="2514" w:type="dxa"/>
            <w:gridSpan w:val="2"/>
          </w:tcPr>
          <w:p>
            <w:pPr>
              <w:pStyle w:val="49"/>
              <w:shd w:val="clear" w:color="auto" w:fill="FFFFFF"/>
              <w:spacing w:before="0" w:beforeAutospacing="0" w:after="0" w:afterAutospacing="0"/>
              <w:ind w:right="-107" w:rightChars="-51"/>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5470" w:type="dxa"/>
            <w:gridSpan w:val="9"/>
          </w:tcPr>
          <w:p>
            <w:pPr>
              <w:pStyle w:val="49"/>
              <w:shd w:val="clear" w:color="auto" w:fill="FFFFFF"/>
              <w:spacing w:before="0" w:beforeAutospacing="0" w:after="0" w:afterAutospacing="0"/>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2" w:type="dxa"/>
            <w:vMerge w:val="continue"/>
          </w:tcPr>
          <w:p>
            <w:pPr>
              <w:pStyle w:val="49"/>
              <w:shd w:val="clear" w:color="auto" w:fill="FFFFFF"/>
              <w:spacing w:before="0" w:beforeAutospacing="0" w:after="0" w:afterAutospacing="0"/>
              <w:ind w:left="107"/>
              <w:rPr>
                <w:bCs/>
                <w:color w:val="auto"/>
                <w:spacing w:val="27"/>
              </w:rPr>
            </w:pPr>
          </w:p>
        </w:tc>
        <w:tc>
          <w:tcPr>
            <w:tcW w:w="2514" w:type="dxa"/>
            <w:gridSpan w:val="2"/>
          </w:tcPr>
          <w:p>
            <w:pPr>
              <w:pStyle w:val="49"/>
              <w:shd w:val="clear" w:color="auto" w:fill="FFFFFF"/>
              <w:spacing w:before="0" w:beforeAutospacing="0" w:after="0" w:afterAutospacing="0"/>
              <w:rPr>
                <w:bCs/>
                <w:color w:val="auto"/>
                <w:spacing w:val="16"/>
              </w:rPr>
            </w:pPr>
            <w:r>
              <w:rPr>
                <w:rFonts w:hint="eastAsia"/>
                <w:bCs/>
                <w:color w:val="auto"/>
                <w:spacing w:val="10"/>
              </w:rPr>
              <w:t>企业获得专利情况</w:t>
            </w:r>
          </w:p>
        </w:tc>
        <w:tc>
          <w:tcPr>
            <w:tcW w:w="5470" w:type="dxa"/>
            <w:gridSpan w:val="9"/>
          </w:tcPr>
          <w:p>
            <w:pPr>
              <w:pStyle w:val="49"/>
              <w:shd w:val="clear" w:color="auto" w:fill="FFFFFF"/>
              <w:spacing w:before="0" w:beforeAutospacing="0" w:after="0" w:afterAutospacing="0"/>
              <w:rPr>
                <w:bCs/>
                <w:color w:val="auto"/>
                <w:spacing w:val="16"/>
              </w:rPr>
            </w:pPr>
          </w:p>
        </w:tc>
      </w:tr>
    </w:tbl>
    <w:p>
      <w:pPr>
        <w:pStyle w:val="49"/>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49"/>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ind w:firstLine="424" w:firstLineChars="177"/>
        <w:rPr>
          <w:rFonts w:ascii="宋体" w:hAnsi="宋体"/>
          <w:color w:val="auto"/>
          <w:sz w:val="24"/>
        </w:rPr>
      </w:pPr>
    </w:p>
    <w:p>
      <w:pPr>
        <w:spacing w:line="360" w:lineRule="auto"/>
        <w:ind w:firstLine="498" w:firstLineChars="177"/>
        <w:rPr>
          <w:b/>
          <w:color w:val="auto"/>
          <w:sz w:val="28"/>
        </w:rPr>
      </w:pPr>
      <w:r>
        <w:rPr>
          <w:rFonts w:hint="eastAsia"/>
          <w:b/>
          <w:color w:val="auto"/>
          <w:sz w:val="28"/>
        </w:rPr>
        <w:t>附件6</w:t>
      </w:r>
    </w:p>
    <w:p>
      <w:pPr>
        <w:spacing w:line="360" w:lineRule="auto"/>
        <w:ind w:left="480"/>
        <w:jc w:val="center"/>
        <w:rPr>
          <w:rFonts w:ascii="宋体" w:hAnsi="宋体"/>
          <w:color w:val="auto"/>
          <w:kern w:val="0"/>
          <w:sz w:val="32"/>
          <w:szCs w:val="32"/>
        </w:rPr>
      </w:pPr>
      <w:r>
        <w:rPr>
          <w:rFonts w:hint="eastAsia" w:ascii="宋体" w:hAnsi="宋体"/>
          <w:color w:val="auto"/>
          <w:kern w:val="0"/>
          <w:sz w:val="32"/>
          <w:szCs w:val="32"/>
        </w:rPr>
        <w:t>项目设备配置清单</w:t>
      </w:r>
    </w:p>
    <w:p>
      <w:pPr>
        <w:spacing w:line="360" w:lineRule="auto"/>
        <w:jc w:val="center"/>
        <w:rPr>
          <w:rFonts w:ascii="黑体" w:hAnsi="宋体" w:eastAsia="黑体"/>
          <w:b/>
          <w:color w:val="auto"/>
          <w:sz w:val="44"/>
        </w:rPr>
      </w:pPr>
      <w:r>
        <w:rPr>
          <w:rFonts w:hint="eastAsia" w:ascii="仿宋_GB2312" w:eastAsia="仿宋_GB2312"/>
          <w:color w:val="auto"/>
        </w:rPr>
        <w:t>（按此格式自制）</w:t>
      </w:r>
    </w:p>
    <w:tbl>
      <w:tblPr>
        <w:tblStyle w:val="29"/>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850"/>
        <w:gridCol w:w="1276"/>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51" w:type="dxa"/>
            <w:vAlign w:val="center"/>
          </w:tcPr>
          <w:p>
            <w:pPr>
              <w:jc w:val="center"/>
              <w:rPr>
                <w:rFonts w:ascii="宋体" w:hAnsi="宋体"/>
                <w:color w:val="auto"/>
                <w:sz w:val="24"/>
              </w:rPr>
            </w:pPr>
            <w:r>
              <w:rPr>
                <w:rFonts w:hint="eastAsia" w:ascii="宋体" w:hAnsi="宋体"/>
                <w:color w:val="auto"/>
                <w:sz w:val="24"/>
              </w:rPr>
              <w:t>序号</w:t>
            </w:r>
          </w:p>
        </w:tc>
        <w:tc>
          <w:tcPr>
            <w:tcW w:w="1560" w:type="dxa"/>
            <w:vAlign w:val="center"/>
          </w:tcPr>
          <w:p>
            <w:pPr>
              <w:snapToGrid w:val="0"/>
              <w:jc w:val="center"/>
              <w:rPr>
                <w:rFonts w:ascii="宋体"/>
                <w:color w:val="auto"/>
                <w:sz w:val="24"/>
              </w:rPr>
            </w:pPr>
            <w:r>
              <w:rPr>
                <w:rFonts w:hint="eastAsia" w:ascii="宋体"/>
                <w:color w:val="auto"/>
                <w:sz w:val="24"/>
              </w:rPr>
              <w:t>产品名称</w:t>
            </w:r>
          </w:p>
        </w:tc>
        <w:tc>
          <w:tcPr>
            <w:tcW w:w="850" w:type="dxa"/>
            <w:vAlign w:val="center"/>
          </w:tcPr>
          <w:p>
            <w:pPr>
              <w:snapToGrid w:val="0"/>
              <w:jc w:val="center"/>
              <w:rPr>
                <w:rFonts w:ascii="宋体"/>
                <w:color w:val="auto"/>
                <w:sz w:val="24"/>
              </w:rPr>
            </w:pPr>
            <w:r>
              <w:rPr>
                <w:rFonts w:hint="eastAsia" w:ascii="宋体"/>
                <w:color w:val="auto"/>
                <w:sz w:val="24"/>
              </w:rPr>
              <w:t>品牌</w:t>
            </w:r>
          </w:p>
        </w:tc>
        <w:tc>
          <w:tcPr>
            <w:tcW w:w="1276" w:type="dxa"/>
            <w:vAlign w:val="center"/>
          </w:tcPr>
          <w:p>
            <w:pPr>
              <w:snapToGrid w:val="0"/>
              <w:jc w:val="center"/>
              <w:rPr>
                <w:rFonts w:ascii="宋体"/>
                <w:color w:val="auto"/>
                <w:sz w:val="24"/>
              </w:rPr>
            </w:pPr>
            <w:r>
              <w:rPr>
                <w:rFonts w:hint="eastAsia" w:ascii="宋体"/>
                <w:color w:val="auto"/>
                <w:sz w:val="24"/>
              </w:rPr>
              <w:t>规格型号</w:t>
            </w:r>
          </w:p>
        </w:tc>
        <w:tc>
          <w:tcPr>
            <w:tcW w:w="1417" w:type="dxa"/>
            <w:vAlign w:val="center"/>
          </w:tcPr>
          <w:p>
            <w:pPr>
              <w:snapToGrid w:val="0"/>
              <w:jc w:val="center"/>
              <w:rPr>
                <w:rFonts w:ascii="宋体"/>
                <w:color w:val="auto"/>
                <w:sz w:val="24"/>
              </w:rPr>
            </w:pPr>
            <w:r>
              <w:rPr>
                <w:rFonts w:hint="eastAsia" w:ascii="宋体"/>
                <w:color w:val="auto"/>
                <w:sz w:val="24"/>
              </w:rPr>
              <w:t>单位及数量</w:t>
            </w:r>
          </w:p>
        </w:tc>
        <w:tc>
          <w:tcPr>
            <w:tcW w:w="1418" w:type="dxa"/>
            <w:vAlign w:val="center"/>
          </w:tcPr>
          <w:p>
            <w:pPr>
              <w:snapToGrid w:val="0"/>
              <w:jc w:val="center"/>
              <w:rPr>
                <w:rFonts w:ascii="宋体"/>
                <w:color w:val="auto"/>
                <w:sz w:val="24"/>
              </w:rPr>
            </w:pPr>
            <w:r>
              <w:rPr>
                <w:rFonts w:hint="eastAsia" w:ascii="宋体"/>
                <w:color w:val="auto"/>
                <w:sz w:val="24"/>
              </w:rPr>
              <w:t>性能及指标</w:t>
            </w:r>
          </w:p>
        </w:tc>
        <w:tc>
          <w:tcPr>
            <w:tcW w:w="1701" w:type="dxa"/>
            <w:vAlign w:val="center"/>
          </w:tcPr>
          <w:p>
            <w:pPr>
              <w:snapToGrid w:val="0"/>
              <w:jc w:val="center"/>
              <w:rPr>
                <w:rFonts w:ascii="宋体"/>
                <w:color w:val="auto"/>
                <w:sz w:val="24"/>
              </w:rPr>
            </w:pPr>
            <w:r>
              <w:rPr>
                <w:rFonts w:hint="eastAsia" w:ascii="宋体"/>
                <w:color w:val="auto"/>
                <w:sz w:val="24"/>
              </w:rPr>
              <w:t>生产厂家名称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2</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pStyle w:val="23"/>
              <w:rPr>
                <w:rFonts w:ascii="宋体" w:hAnsi="宋体"/>
                <w:color w:val="auto"/>
                <w:sz w:val="24"/>
                <w:szCs w:val="24"/>
              </w:rPr>
            </w:pPr>
            <w:r>
              <w:rPr>
                <w:rFonts w:hint="eastAsia" w:ascii="宋体" w:hAnsi="宋体"/>
                <w:b w:val="0"/>
                <w:color w:val="auto"/>
                <w:sz w:val="24"/>
                <w:szCs w:val="24"/>
              </w:rPr>
              <w:t>3</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4</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5</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6</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7</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8</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9</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10</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11</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12</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13</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14</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hint="eastAsia" w:ascii="宋体" w:hAnsi="宋体"/>
                <w:color w:val="auto"/>
                <w:sz w:val="24"/>
              </w:rPr>
              <w:t>15</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851" w:type="dxa"/>
            <w:vAlign w:val="center"/>
          </w:tcPr>
          <w:p>
            <w:pPr>
              <w:jc w:val="center"/>
              <w:rPr>
                <w:rFonts w:ascii="宋体" w:hAnsi="宋体"/>
                <w:color w:val="auto"/>
                <w:sz w:val="24"/>
              </w:rPr>
            </w:pPr>
            <w:r>
              <w:rPr>
                <w:rFonts w:ascii="宋体" w:hAnsi="宋体"/>
                <w:color w:val="auto"/>
                <w:sz w:val="24"/>
              </w:rPr>
              <w:t>……</w:t>
            </w:r>
          </w:p>
        </w:tc>
        <w:tc>
          <w:tcPr>
            <w:tcW w:w="1560" w:type="dxa"/>
            <w:vAlign w:val="center"/>
          </w:tcPr>
          <w:p>
            <w:pPr>
              <w:jc w:val="center"/>
              <w:rPr>
                <w:rFonts w:ascii="宋体" w:hAnsi="宋体"/>
                <w:color w:val="auto"/>
                <w:sz w:val="24"/>
              </w:rPr>
            </w:pPr>
          </w:p>
        </w:tc>
        <w:tc>
          <w:tcPr>
            <w:tcW w:w="850" w:type="dxa"/>
            <w:vAlign w:val="center"/>
          </w:tcPr>
          <w:p>
            <w:pPr>
              <w:jc w:val="center"/>
              <w:rPr>
                <w:rFonts w:ascii="宋体" w:hAnsi="宋体"/>
                <w:color w:val="auto"/>
                <w:sz w:val="24"/>
              </w:rPr>
            </w:pPr>
          </w:p>
        </w:tc>
        <w:tc>
          <w:tcPr>
            <w:tcW w:w="1276" w:type="dxa"/>
            <w:vAlign w:val="center"/>
          </w:tcPr>
          <w:p>
            <w:pPr>
              <w:jc w:val="center"/>
              <w:rPr>
                <w:rFonts w:ascii="宋体" w:hAnsi="宋体"/>
                <w:color w:val="auto"/>
                <w:sz w:val="24"/>
              </w:rPr>
            </w:pPr>
          </w:p>
        </w:tc>
        <w:tc>
          <w:tcPr>
            <w:tcW w:w="1417" w:type="dxa"/>
            <w:vAlign w:val="center"/>
          </w:tcPr>
          <w:p>
            <w:pPr>
              <w:jc w:val="center"/>
              <w:rPr>
                <w:rFonts w:ascii="宋体" w:hAnsi="宋体"/>
                <w:color w:val="auto"/>
                <w:sz w:val="24"/>
              </w:rPr>
            </w:pPr>
          </w:p>
        </w:tc>
        <w:tc>
          <w:tcPr>
            <w:tcW w:w="1418" w:type="dxa"/>
            <w:vAlign w:val="center"/>
          </w:tcPr>
          <w:p>
            <w:pPr>
              <w:jc w:val="center"/>
              <w:rPr>
                <w:rFonts w:ascii="宋体" w:hAnsi="宋体"/>
                <w:color w:val="auto"/>
                <w:sz w:val="24"/>
              </w:rPr>
            </w:pPr>
          </w:p>
        </w:tc>
        <w:tc>
          <w:tcPr>
            <w:tcW w:w="1701" w:type="dxa"/>
            <w:vAlign w:val="center"/>
          </w:tcPr>
          <w:p>
            <w:pPr>
              <w:jc w:val="center"/>
              <w:rPr>
                <w:rFonts w:ascii="宋体" w:hAnsi="宋体"/>
                <w:color w:val="auto"/>
                <w:sz w:val="24"/>
              </w:rPr>
            </w:pPr>
          </w:p>
        </w:tc>
      </w:tr>
    </w:tbl>
    <w:p>
      <w:pPr>
        <w:adjustRightInd w:val="0"/>
        <w:snapToGrid w:val="0"/>
        <w:spacing w:line="240" w:lineRule="atLeast"/>
        <w:ind w:left="482" w:hanging="482"/>
        <w:jc w:val="left"/>
        <w:rPr>
          <w:rFonts w:ascii="宋体" w:hAnsi="宋体"/>
          <w:color w:val="auto"/>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24" w:firstLineChars="177"/>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r>
        <w:rPr>
          <w:rFonts w:hint="eastAsia" w:ascii="宋体" w:hAnsi="宋体"/>
          <w:color w:val="auto"/>
          <w:sz w:val="24"/>
        </w:rPr>
        <w:t>日        期：</w:t>
      </w: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pStyle w:val="14"/>
        <w:spacing w:line="560" w:lineRule="exact"/>
        <w:rPr>
          <w:rFonts w:hAnsi="宋体"/>
          <w:color w:val="auto"/>
          <w:sz w:val="24"/>
          <w:lang w:val="zh-CN"/>
        </w:rPr>
      </w:pPr>
    </w:p>
    <w:p>
      <w:pPr>
        <w:snapToGrid w:val="0"/>
        <w:spacing w:before="50" w:after="50" w:line="360" w:lineRule="auto"/>
        <w:rPr>
          <w:rFonts w:ascii="宋体" w:hAnsi="宋体"/>
          <w:b/>
          <w:color w:val="auto"/>
          <w:sz w:val="28"/>
        </w:rPr>
      </w:pPr>
      <w:r>
        <w:rPr>
          <w:rFonts w:hint="eastAsia" w:ascii="宋体" w:hAnsi="宋体"/>
          <w:b/>
          <w:color w:val="auto"/>
          <w:sz w:val="28"/>
        </w:rPr>
        <w:t>附件7</w:t>
      </w:r>
    </w:p>
    <w:p>
      <w:pPr>
        <w:adjustRightInd w:val="0"/>
        <w:snapToGrid w:val="0"/>
        <w:spacing w:line="360" w:lineRule="auto"/>
        <w:jc w:val="center"/>
        <w:rPr>
          <w:rFonts w:ascii="宋体"/>
          <w:b/>
          <w:color w:val="auto"/>
          <w:sz w:val="32"/>
          <w:szCs w:val="32"/>
        </w:rPr>
      </w:pPr>
      <w:r>
        <w:rPr>
          <w:rFonts w:hint="eastAsia" w:ascii="宋体"/>
          <w:b/>
          <w:color w:val="auto"/>
          <w:sz w:val="32"/>
          <w:szCs w:val="32"/>
        </w:rPr>
        <w:t>备品备件和随机特殊工具清单</w:t>
      </w:r>
    </w:p>
    <w:p>
      <w:pPr>
        <w:adjustRightInd w:val="0"/>
        <w:snapToGrid w:val="0"/>
        <w:spacing w:line="360" w:lineRule="auto"/>
        <w:jc w:val="right"/>
        <w:rPr>
          <w:rFonts w:ascii="宋体"/>
          <w:b/>
          <w:color w:val="auto"/>
          <w:sz w:val="32"/>
          <w:szCs w:val="32"/>
        </w:rPr>
      </w:pPr>
      <w:r>
        <w:rPr>
          <w:rFonts w:hint="eastAsia" w:ascii="宋体"/>
          <w:color w:val="auto"/>
          <w:sz w:val="24"/>
        </w:rPr>
        <w:t>单位：元（人民币）</w:t>
      </w:r>
    </w:p>
    <w:tbl>
      <w:tblPr>
        <w:tblStyle w:val="29"/>
        <w:tblW w:w="968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47"/>
        <w:gridCol w:w="1332"/>
        <w:gridCol w:w="1698"/>
        <w:gridCol w:w="1736"/>
        <w:gridCol w:w="710"/>
        <w:gridCol w:w="93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序号</w:t>
            </w: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备品备件/随机特殊工具名称</w:t>
            </w: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型号规格</w:t>
            </w: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用于设备具体部件及作用</w:t>
            </w: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产地/制造厂</w:t>
            </w: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数量</w:t>
            </w: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单价</w:t>
            </w: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r>
              <w:rPr>
                <w:rFonts w:hint="eastAsia" w:asci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47"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332"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698"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17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710"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36" w:type="dxa"/>
            <w:vAlign w:val="center"/>
          </w:tcPr>
          <w:p>
            <w:pPr>
              <w:autoSpaceDE w:val="0"/>
              <w:autoSpaceDN w:val="0"/>
              <w:adjustRightInd w:val="0"/>
              <w:snapToGrid w:val="0"/>
              <w:spacing w:line="360" w:lineRule="auto"/>
              <w:jc w:val="center"/>
              <w:textAlignment w:val="bottom"/>
              <w:rPr>
                <w:rFonts w:ascii="宋体"/>
                <w:color w:val="auto"/>
                <w:sz w:val="24"/>
              </w:rPr>
            </w:pPr>
          </w:p>
        </w:tc>
        <w:tc>
          <w:tcPr>
            <w:tcW w:w="964" w:type="dxa"/>
            <w:vAlign w:val="center"/>
          </w:tcPr>
          <w:p>
            <w:pPr>
              <w:autoSpaceDE w:val="0"/>
              <w:autoSpaceDN w:val="0"/>
              <w:adjustRightInd w:val="0"/>
              <w:snapToGrid w:val="0"/>
              <w:spacing w:line="360" w:lineRule="auto"/>
              <w:jc w:val="center"/>
              <w:textAlignment w:val="bottom"/>
              <w:rPr>
                <w:rFonts w:ascii="宋体"/>
                <w:color w:val="auto"/>
                <w:sz w:val="24"/>
              </w:rPr>
            </w:pPr>
          </w:p>
        </w:tc>
      </w:tr>
    </w:tbl>
    <w:p>
      <w:pPr>
        <w:autoSpaceDE w:val="0"/>
        <w:autoSpaceDN w:val="0"/>
        <w:adjustRightInd w:val="0"/>
        <w:snapToGrid w:val="0"/>
        <w:spacing w:line="400" w:lineRule="exact"/>
        <w:textAlignment w:val="bottom"/>
        <w:rPr>
          <w:rFonts w:ascii="宋体"/>
          <w:color w:val="auto"/>
          <w:sz w:val="24"/>
        </w:rPr>
      </w:pPr>
      <w:r>
        <w:rPr>
          <w:rFonts w:hint="eastAsia" w:ascii="宋体"/>
          <w:color w:val="auto"/>
          <w:sz w:val="24"/>
        </w:rPr>
        <w:t>注：1.本表所列项目已包含在投标总价内；</w:t>
      </w:r>
    </w:p>
    <w:p>
      <w:pPr>
        <w:autoSpaceDE w:val="0"/>
        <w:autoSpaceDN w:val="0"/>
        <w:adjustRightInd w:val="0"/>
        <w:snapToGrid w:val="0"/>
        <w:spacing w:line="400" w:lineRule="exact"/>
        <w:textAlignment w:val="bottom"/>
        <w:rPr>
          <w:rFonts w:ascii="宋体"/>
          <w:color w:val="auto"/>
          <w:szCs w:val="21"/>
        </w:rPr>
      </w:pPr>
      <w:r>
        <w:rPr>
          <w:rFonts w:hint="eastAsia" w:ascii="宋体"/>
          <w:color w:val="auto"/>
          <w:sz w:val="24"/>
        </w:rPr>
        <w:t xml:space="preserve">    2.此表仅提供了表格形式，投标人应根据需要及招标文件的具体要求，准备足够数量的表格按实填写。</w:t>
      </w:r>
    </w:p>
    <w:p>
      <w:pPr>
        <w:widowControl/>
        <w:jc w:val="left"/>
        <w:rPr>
          <w:rFonts w:ascii="宋体" w:hAnsi="宋体"/>
          <w:color w:val="auto"/>
          <w:kern w:val="0"/>
          <w:sz w:val="32"/>
          <w:szCs w:val="32"/>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widowControl/>
        <w:jc w:val="left"/>
        <w:rPr>
          <w:rFonts w:ascii="宋体" w:hAnsi="宋体"/>
          <w:b/>
          <w:color w:val="auto"/>
          <w:sz w:val="28"/>
        </w:rPr>
      </w:pPr>
      <w:r>
        <w:rPr>
          <w:rFonts w:ascii="宋体" w:hAnsi="宋体"/>
          <w:b/>
          <w:color w:val="auto"/>
          <w:sz w:val="28"/>
        </w:rPr>
        <w:br w:type="page"/>
      </w:r>
    </w:p>
    <w:p>
      <w:pPr>
        <w:snapToGrid w:val="0"/>
        <w:spacing w:before="50" w:after="50" w:line="360" w:lineRule="auto"/>
        <w:rPr>
          <w:rFonts w:ascii="宋体" w:hAnsi="宋体"/>
          <w:b/>
          <w:color w:val="auto"/>
          <w:sz w:val="28"/>
        </w:rPr>
      </w:pPr>
      <w:r>
        <w:rPr>
          <w:rFonts w:hint="eastAsia" w:ascii="宋体" w:hAnsi="宋体"/>
          <w:b/>
          <w:color w:val="auto"/>
          <w:sz w:val="28"/>
        </w:rPr>
        <w:t>附件8</w:t>
      </w:r>
    </w:p>
    <w:p>
      <w:pPr>
        <w:widowControl/>
        <w:jc w:val="left"/>
        <w:rPr>
          <w:rFonts w:ascii="宋体" w:hAnsi="宋体"/>
          <w:color w:val="auto"/>
          <w:kern w:val="0"/>
          <w:sz w:val="32"/>
          <w:szCs w:val="32"/>
        </w:rPr>
      </w:pPr>
    </w:p>
    <w:p>
      <w:pPr>
        <w:spacing w:line="360" w:lineRule="auto"/>
        <w:ind w:left="480"/>
        <w:jc w:val="center"/>
        <w:rPr>
          <w:rFonts w:ascii="宋体" w:hAnsi="宋体"/>
          <w:b/>
          <w:color w:val="auto"/>
          <w:sz w:val="32"/>
          <w:szCs w:val="32"/>
        </w:rPr>
      </w:pPr>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p>
    <w:tbl>
      <w:tblPr>
        <w:tblStyle w:val="29"/>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168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pPr>
              <w:spacing w:line="360" w:lineRule="auto"/>
              <w:rPr>
                <w:rFonts w:ascii="宋体" w:hAnsi="宋体"/>
                <w:b/>
                <w:color w:val="auto"/>
                <w:sz w:val="24"/>
              </w:rPr>
            </w:pPr>
            <w:r>
              <w:rPr>
                <w:rFonts w:hint="eastAsia" w:ascii="宋体" w:hAnsi="宋体"/>
                <w:b/>
                <w:color w:val="auto"/>
                <w:sz w:val="24"/>
              </w:rPr>
              <w:t>序号</w:t>
            </w:r>
          </w:p>
        </w:tc>
        <w:tc>
          <w:tcPr>
            <w:tcW w:w="2150" w:type="dxa"/>
            <w:vAlign w:val="center"/>
          </w:tcPr>
          <w:p>
            <w:pPr>
              <w:spacing w:line="360" w:lineRule="auto"/>
              <w:ind w:left="13" w:leftChars="6" w:firstLine="482" w:firstLineChars="200"/>
              <w:rPr>
                <w:rFonts w:ascii="宋体" w:hAnsi="宋体"/>
                <w:b/>
                <w:color w:val="auto"/>
                <w:sz w:val="24"/>
              </w:rPr>
            </w:pPr>
            <w:r>
              <w:rPr>
                <w:rFonts w:hint="eastAsia" w:ascii="宋体" w:hAnsi="宋体"/>
                <w:b/>
                <w:color w:val="auto"/>
                <w:sz w:val="24"/>
              </w:rPr>
              <w:t>名称</w:t>
            </w:r>
          </w:p>
        </w:tc>
        <w:tc>
          <w:tcPr>
            <w:tcW w:w="1879" w:type="dxa"/>
            <w:vAlign w:val="center"/>
          </w:tcPr>
          <w:p>
            <w:pPr>
              <w:spacing w:line="360" w:lineRule="auto"/>
              <w:ind w:left="152"/>
              <w:rPr>
                <w:rFonts w:ascii="宋体" w:hAnsi="宋体"/>
                <w:b/>
                <w:color w:val="auto"/>
                <w:sz w:val="24"/>
              </w:rPr>
            </w:pPr>
            <w:r>
              <w:rPr>
                <w:rFonts w:hint="eastAsia" w:ascii="宋体" w:hAnsi="宋体"/>
                <w:b/>
                <w:color w:val="auto"/>
                <w:sz w:val="24"/>
              </w:rPr>
              <w:t>招标参数</w:t>
            </w:r>
          </w:p>
        </w:tc>
        <w:tc>
          <w:tcPr>
            <w:tcW w:w="1687" w:type="dxa"/>
            <w:vAlign w:val="center"/>
          </w:tcPr>
          <w:p>
            <w:pPr>
              <w:spacing w:line="360" w:lineRule="auto"/>
              <w:rPr>
                <w:rFonts w:ascii="宋体" w:hAnsi="宋体"/>
                <w:b/>
                <w:color w:val="auto"/>
                <w:sz w:val="24"/>
              </w:rPr>
            </w:pPr>
            <w:r>
              <w:rPr>
                <w:rFonts w:hint="eastAsia" w:ascii="宋体" w:hAnsi="宋体"/>
                <w:b/>
                <w:color w:val="auto"/>
                <w:sz w:val="24"/>
              </w:rPr>
              <w:t>投标参数</w:t>
            </w:r>
          </w:p>
        </w:tc>
        <w:tc>
          <w:tcPr>
            <w:tcW w:w="1644" w:type="dxa"/>
            <w:vAlign w:val="center"/>
          </w:tcPr>
          <w:p>
            <w:pPr>
              <w:spacing w:line="360" w:lineRule="auto"/>
              <w:rPr>
                <w:rFonts w:ascii="宋体" w:hAns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pPr>
              <w:spacing w:line="360" w:lineRule="auto"/>
              <w:rPr>
                <w:rFonts w:ascii="宋体" w:hAnsi="宋体"/>
                <w:color w:val="auto"/>
                <w:sz w:val="24"/>
              </w:rPr>
            </w:pPr>
          </w:p>
        </w:tc>
        <w:tc>
          <w:tcPr>
            <w:tcW w:w="2150" w:type="dxa"/>
            <w:vAlign w:val="center"/>
          </w:tcPr>
          <w:p>
            <w:pPr>
              <w:spacing w:line="360" w:lineRule="auto"/>
              <w:rPr>
                <w:rFonts w:ascii="宋体" w:hAnsi="宋体"/>
                <w:color w:val="auto"/>
                <w:sz w:val="24"/>
              </w:rPr>
            </w:pPr>
          </w:p>
        </w:tc>
        <w:tc>
          <w:tcPr>
            <w:tcW w:w="1879" w:type="dxa"/>
            <w:vAlign w:val="center"/>
          </w:tcPr>
          <w:p>
            <w:pPr>
              <w:spacing w:line="360" w:lineRule="auto"/>
              <w:rPr>
                <w:rFonts w:ascii="宋体" w:hAnsi="宋体"/>
                <w:color w:val="auto"/>
                <w:sz w:val="24"/>
              </w:rPr>
            </w:pPr>
          </w:p>
        </w:tc>
        <w:tc>
          <w:tcPr>
            <w:tcW w:w="1687" w:type="dxa"/>
            <w:vAlign w:val="center"/>
          </w:tcPr>
          <w:p>
            <w:pPr>
              <w:spacing w:line="360" w:lineRule="auto"/>
              <w:rPr>
                <w:rFonts w:ascii="宋体" w:hAnsi="宋体"/>
                <w:color w:val="auto"/>
                <w:sz w:val="24"/>
              </w:rPr>
            </w:pPr>
          </w:p>
        </w:tc>
        <w:tc>
          <w:tcPr>
            <w:tcW w:w="1644" w:type="dxa"/>
            <w:vAlign w:val="center"/>
          </w:tcPr>
          <w:p>
            <w:pPr>
              <w:spacing w:line="360" w:lineRule="auto"/>
              <w:rPr>
                <w:rFonts w:ascii="宋体" w:hAnsi="宋体"/>
                <w:color w:val="auto"/>
                <w:sz w:val="24"/>
              </w:rPr>
            </w:pPr>
          </w:p>
        </w:tc>
      </w:tr>
    </w:tbl>
    <w:p>
      <w:pPr>
        <w:pStyle w:val="51"/>
        <w:tabs>
          <w:tab w:val="left" w:pos="360"/>
        </w:tabs>
        <w:spacing w:line="360" w:lineRule="auto"/>
        <w:ind w:right="84" w:rightChars="40"/>
        <w:rPr>
          <w:rFonts w:ascii="宋体"/>
          <w:b/>
          <w:color w:val="auto"/>
          <w:szCs w:val="21"/>
        </w:rPr>
      </w:pPr>
      <w:r>
        <w:rPr>
          <w:rFonts w:hint="eastAsia" w:ascii="宋体"/>
          <w:b/>
          <w:color w:val="auto"/>
          <w:szCs w:val="21"/>
        </w:rPr>
        <w:t>要求：</w:t>
      </w:r>
    </w:p>
    <w:p>
      <w:pPr>
        <w:pStyle w:val="51"/>
        <w:spacing w:line="360" w:lineRule="auto"/>
        <w:ind w:right="84" w:rightChars="40" w:firstLine="420" w:firstLineChars="200"/>
        <w:rPr>
          <w:rFonts w:ascii="宋体"/>
          <w:color w:val="auto"/>
          <w:szCs w:val="21"/>
        </w:rPr>
      </w:pPr>
      <w:r>
        <w:rPr>
          <w:rFonts w:hint="eastAsia" w:ascii="宋体"/>
          <w:color w:val="auto"/>
          <w:szCs w:val="21"/>
        </w:rPr>
        <w:t>1.本表参照本招标文件第四章“公开招标需求”内第三条“技术需求”填制，投标人应根据投标设备的性能指标、服务指标，对照招标文件要求在“偏离情况”栏注明“正偏离”、“负偏离”或“无偏离”。</w:t>
      </w:r>
    </w:p>
    <w:p>
      <w:pPr>
        <w:pStyle w:val="51"/>
        <w:spacing w:line="360" w:lineRule="auto"/>
        <w:ind w:right="84" w:rightChars="40" w:firstLine="420" w:firstLineChars="200"/>
        <w:rPr>
          <w:rFonts w:ascii="宋体"/>
          <w:color w:val="auto"/>
          <w:szCs w:val="21"/>
        </w:rPr>
      </w:pPr>
      <w:r>
        <w:rPr>
          <w:rFonts w:hint="eastAsia" w:ascii="宋体"/>
          <w:color w:val="auto"/>
          <w:szCs w:val="21"/>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rPr>
          <w:rFonts w:hAnsi="宋体"/>
          <w:color w:val="auto"/>
          <w:sz w:val="24"/>
          <w:lang w:val="zh-CN"/>
        </w:rPr>
      </w:pPr>
    </w:p>
    <w:p>
      <w:pPr>
        <w:rPr>
          <w:rFonts w:hAnsi="宋体"/>
          <w:color w:val="auto"/>
          <w:sz w:val="24"/>
          <w:lang w:val="zh-CN"/>
        </w:rPr>
      </w:pPr>
    </w:p>
    <w:p>
      <w:pPr>
        <w:snapToGrid w:val="0"/>
        <w:spacing w:before="50" w:after="50" w:line="360" w:lineRule="auto"/>
        <w:rPr>
          <w:rFonts w:ascii="宋体" w:hAnsi="宋体"/>
          <w:b/>
          <w:color w:val="auto"/>
          <w:sz w:val="28"/>
        </w:rPr>
      </w:pPr>
      <w:r>
        <w:rPr>
          <w:rFonts w:hint="eastAsia" w:ascii="宋体" w:hAnsi="宋体"/>
          <w:b/>
          <w:color w:val="auto"/>
          <w:sz w:val="28"/>
        </w:rPr>
        <w:t>附件9</w:t>
      </w:r>
    </w:p>
    <w:p>
      <w:pPr>
        <w:widowControl/>
        <w:rPr>
          <w:color w:val="auto"/>
          <w:sz w:val="24"/>
        </w:rPr>
      </w:pPr>
    </w:p>
    <w:p>
      <w:pPr>
        <w:autoSpaceDE w:val="0"/>
        <w:autoSpaceDN w:val="0"/>
        <w:adjustRightInd w:val="0"/>
        <w:spacing w:line="360" w:lineRule="auto"/>
        <w:ind w:left="97"/>
        <w:jc w:val="center"/>
        <w:rPr>
          <w:b/>
          <w:color w:val="auto"/>
          <w:sz w:val="28"/>
          <w:szCs w:val="28"/>
        </w:rPr>
      </w:pPr>
      <w:r>
        <w:rPr>
          <w:rFonts w:hint="eastAsia"/>
          <w:b/>
          <w:color w:val="auto"/>
          <w:sz w:val="28"/>
          <w:szCs w:val="28"/>
        </w:rPr>
        <w:t>产品易损零配件价格表</w:t>
      </w:r>
    </w:p>
    <w:p>
      <w:pPr>
        <w:spacing w:line="320" w:lineRule="exact"/>
        <w:ind w:left="420"/>
        <w:rPr>
          <w:rFonts w:ascii="宋体"/>
          <w:color w:val="auto"/>
          <w:sz w:val="24"/>
        </w:rPr>
      </w:pPr>
    </w:p>
    <w:tbl>
      <w:tblPr>
        <w:tblStyle w:val="29"/>
        <w:tblW w:w="946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13"/>
        <w:gridCol w:w="2582"/>
        <w:gridCol w:w="1230"/>
        <w:gridCol w:w="159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61"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序号</w:t>
            </w:r>
          </w:p>
        </w:tc>
        <w:tc>
          <w:tcPr>
            <w:tcW w:w="2213"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设备名称</w:t>
            </w:r>
          </w:p>
        </w:tc>
        <w:tc>
          <w:tcPr>
            <w:tcW w:w="2582"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规格型号</w:t>
            </w:r>
          </w:p>
        </w:tc>
        <w:tc>
          <w:tcPr>
            <w:tcW w:w="1230"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产地</w:t>
            </w:r>
          </w:p>
        </w:tc>
        <w:tc>
          <w:tcPr>
            <w:tcW w:w="1598" w:type="dxa"/>
            <w:shd w:val="clear" w:color="auto" w:fill="FFFFFF"/>
            <w:vAlign w:val="center"/>
          </w:tcPr>
          <w:p>
            <w:pPr>
              <w:spacing w:line="280" w:lineRule="exact"/>
              <w:ind w:right="-166" w:rightChars="-79"/>
              <w:jc w:val="center"/>
              <w:rPr>
                <w:rFonts w:ascii="黑体" w:eastAsia="黑体"/>
                <w:color w:val="auto"/>
                <w:sz w:val="24"/>
              </w:rPr>
            </w:pPr>
            <w:r>
              <w:rPr>
                <w:rFonts w:hint="eastAsia" w:ascii="黑体" w:eastAsia="黑体"/>
                <w:color w:val="auto"/>
                <w:sz w:val="24"/>
              </w:rPr>
              <w:t>单价（元）</w:t>
            </w:r>
          </w:p>
        </w:tc>
        <w:tc>
          <w:tcPr>
            <w:tcW w:w="984" w:type="dxa"/>
            <w:shd w:val="clear" w:color="auto" w:fill="FFFFFF"/>
            <w:vAlign w:val="center"/>
          </w:tcPr>
          <w:p>
            <w:pPr>
              <w:spacing w:line="280" w:lineRule="exact"/>
              <w:jc w:val="center"/>
              <w:rPr>
                <w:rFonts w:ascii="黑体" w:eastAsia="黑体"/>
                <w:color w:val="auto"/>
                <w:sz w:val="24"/>
              </w:rPr>
            </w:pPr>
            <w:r>
              <w:rPr>
                <w:rFonts w:hint="eastAsia" w:ascii="黑体" w:eastAsia="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61" w:type="dxa"/>
            <w:vAlign w:val="center"/>
          </w:tcPr>
          <w:p>
            <w:pPr>
              <w:spacing w:line="360" w:lineRule="auto"/>
              <w:rPr>
                <w:rFonts w:ascii="宋体"/>
                <w:color w:val="auto"/>
                <w:sz w:val="24"/>
              </w:rPr>
            </w:pPr>
          </w:p>
        </w:tc>
        <w:tc>
          <w:tcPr>
            <w:tcW w:w="2213" w:type="dxa"/>
            <w:vAlign w:val="center"/>
          </w:tcPr>
          <w:p>
            <w:pPr>
              <w:spacing w:line="360" w:lineRule="auto"/>
              <w:rPr>
                <w:rFonts w:ascii="宋体"/>
                <w:color w:val="auto"/>
                <w:sz w:val="24"/>
              </w:rPr>
            </w:pPr>
          </w:p>
        </w:tc>
        <w:tc>
          <w:tcPr>
            <w:tcW w:w="2582" w:type="dxa"/>
            <w:vAlign w:val="center"/>
          </w:tcPr>
          <w:p>
            <w:pPr>
              <w:spacing w:line="360" w:lineRule="auto"/>
              <w:rPr>
                <w:rFonts w:ascii="宋体"/>
                <w:color w:val="auto"/>
                <w:sz w:val="24"/>
              </w:rPr>
            </w:pPr>
          </w:p>
        </w:tc>
        <w:tc>
          <w:tcPr>
            <w:tcW w:w="1230" w:type="dxa"/>
            <w:vAlign w:val="center"/>
          </w:tcPr>
          <w:p>
            <w:pPr>
              <w:spacing w:line="360" w:lineRule="auto"/>
              <w:rPr>
                <w:rFonts w:ascii="宋体"/>
                <w:color w:val="auto"/>
                <w:sz w:val="24"/>
              </w:rPr>
            </w:pPr>
          </w:p>
        </w:tc>
        <w:tc>
          <w:tcPr>
            <w:tcW w:w="1598" w:type="dxa"/>
            <w:vAlign w:val="center"/>
          </w:tcPr>
          <w:p>
            <w:pPr>
              <w:spacing w:line="360" w:lineRule="auto"/>
              <w:rPr>
                <w:rFonts w:ascii="宋体"/>
                <w:color w:val="auto"/>
                <w:sz w:val="24"/>
              </w:rPr>
            </w:pPr>
          </w:p>
        </w:tc>
        <w:tc>
          <w:tcPr>
            <w:tcW w:w="984" w:type="dxa"/>
            <w:vAlign w:val="center"/>
          </w:tcPr>
          <w:p>
            <w:pPr>
              <w:spacing w:line="360" w:lineRule="auto"/>
              <w:rPr>
                <w:rFonts w:ascii="宋体"/>
                <w:color w:val="auto"/>
                <w:sz w:val="24"/>
              </w:rPr>
            </w:pPr>
          </w:p>
        </w:tc>
      </w:tr>
    </w:tbl>
    <w:p>
      <w:pPr>
        <w:pStyle w:val="53"/>
        <w:tabs>
          <w:tab w:val="left" w:pos="1050"/>
        </w:tabs>
        <w:spacing w:line="360" w:lineRule="auto"/>
        <w:ind w:firstLine="720" w:firstLineChars="300"/>
        <w:rPr>
          <w:rFonts w:ascii="仿宋_GB2312" w:hAnsi="宋体" w:eastAsia="仿宋_GB2312"/>
          <w:color w:val="auto"/>
          <w:sz w:val="24"/>
        </w:rPr>
      </w:pPr>
    </w:p>
    <w:p>
      <w:pPr>
        <w:pStyle w:val="53"/>
        <w:tabs>
          <w:tab w:val="left" w:pos="1050"/>
        </w:tabs>
        <w:spacing w:line="360" w:lineRule="auto"/>
        <w:ind w:firstLine="720" w:firstLineChars="300"/>
        <w:rPr>
          <w:rFonts w:ascii="仿宋_GB2312" w:hAnsi="宋体" w:eastAsia="仿宋_GB2312"/>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pStyle w:val="49"/>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pPr>
        <w:pStyle w:val="52"/>
        <w:spacing w:line="360" w:lineRule="auto"/>
        <w:jc w:val="left"/>
        <w:rPr>
          <w:rFonts w:ascii="宋体" w:hAnsi="宋体"/>
          <w:b/>
          <w:color w:val="auto"/>
          <w:sz w:val="28"/>
        </w:rPr>
      </w:pPr>
      <w:r>
        <w:rPr>
          <w:rFonts w:hint="eastAsia" w:ascii="宋体" w:hAnsi="宋体"/>
          <w:b/>
          <w:color w:val="auto"/>
          <w:sz w:val="28"/>
        </w:rPr>
        <w:br w:type="page"/>
      </w:r>
    </w:p>
    <w:p>
      <w:pPr>
        <w:spacing w:line="360" w:lineRule="auto"/>
        <w:ind w:firstLine="435"/>
        <w:rPr>
          <w:rFonts w:ascii="宋体" w:hAnsi="宋体"/>
          <w:color w:val="auto"/>
          <w:sz w:val="24"/>
        </w:rPr>
      </w:pPr>
      <w:r>
        <w:rPr>
          <w:rFonts w:hint="eastAsia" w:ascii="宋体" w:hAnsi="宋体"/>
          <w:b/>
          <w:color w:val="auto"/>
          <w:sz w:val="28"/>
        </w:rPr>
        <w:t>附件10</w:t>
      </w:r>
    </w:p>
    <w:p>
      <w:pPr>
        <w:pStyle w:val="52"/>
        <w:spacing w:line="360" w:lineRule="auto"/>
        <w:jc w:val="center"/>
        <w:rPr>
          <w:rFonts w:ascii="宋体" w:hAnsi="宋体"/>
          <w:b/>
          <w:color w:val="auto"/>
          <w:sz w:val="32"/>
          <w:szCs w:val="32"/>
        </w:rPr>
      </w:pPr>
      <w:r>
        <w:rPr>
          <w:rFonts w:hint="eastAsia" w:ascii="宋体" w:hAnsi="宋体"/>
          <w:b/>
          <w:color w:val="auto"/>
          <w:sz w:val="32"/>
          <w:szCs w:val="32"/>
        </w:rPr>
        <w:t>投标人</w:t>
      </w:r>
      <w:r>
        <w:rPr>
          <w:rFonts w:hint="eastAsia" w:ascii="宋体" w:hAnsi="宋体"/>
          <w:b/>
          <w:color w:val="auto"/>
          <w:sz w:val="32"/>
          <w:szCs w:val="32"/>
          <w:lang w:val="en-US" w:eastAsia="zh-CN"/>
        </w:rPr>
        <w:t>同类</w:t>
      </w:r>
      <w:r>
        <w:rPr>
          <w:rFonts w:hint="eastAsia" w:ascii="宋体" w:hAnsi="宋体"/>
          <w:b/>
          <w:color w:val="auto"/>
          <w:sz w:val="32"/>
          <w:szCs w:val="32"/>
        </w:rPr>
        <w:t>项目实施情况一览表</w:t>
      </w:r>
    </w:p>
    <w:p>
      <w:pPr>
        <w:pStyle w:val="52"/>
        <w:spacing w:line="360" w:lineRule="auto"/>
        <w:jc w:val="center"/>
        <w:rPr>
          <w:rFonts w:ascii="仿宋_GB2312" w:eastAsia="仿宋_GB2312"/>
          <w:b/>
          <w:color w:val="auto"/>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2"/>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2"/>
              <w:spacing w:line="360" w:lineRule="auto"/>
              <w:rPr>
                <w:rFonts w:ascii="宋体" w:hAnsi="宋体" w:cs="Arial"/>
                <w:color w:val="auto"/>
                <w:sz w:val="24"/>
              </w:rPr>
            </w:pPr>
          </w:p>
        </w:tc>
      </w:tr>
    </w:tbl>
    <w:p>
      <w:pPr>
        <w:autoSpaceDE w:val="0"/>
        <w:autoSpaceDN w:val="0"/>
        <w:adjustRightInd w:val="0"/>
        <w:spacing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w:t>
      </w:r>
    </w:p>
    <w:p>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.报价供应商</w:t>
      </w:r>
      <w:r>
        <w:rPr>
          <w:rFonts w:ascii="宋体" w:hAnsi="宋体" w:cs="Arial"/>
          <w:color w:val="auto"/>
          <w:szCs w:val="21"/>
        </w:rPr>
        <w:t>可按此表格式复制</w:t>
      </w:r>
      <w:r>
        <w:rPr>
          <w:rFonts w:hint="eastAsia" w:ascii="宋体" w:hAnsi="宋体" w:cs="Arial"/>
          <w:color w:val="auto"/>
          <w:szCs w:val="21"/>
        </w:rPr>
        <w:t>。</w:t>
      </w: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rPr>
          <w:rFonts w:ascii="宋体" w:hAnsi="宋体"/>
          <w:b/>
          <w:color w:val="auto"/>
          <w:sz w:val="28"/>
        </w:rPr>
      </w:pPr>
      <w:r>
        <w:rPr>
          <w:rFonts w:hint="eastAsia" w:ascii="宋体" w:hAnsi="宋体"/>
          <w:b/>
          <w:color w:val="auto"/>
          <w:sz w:val="28"/>
        </w:rPr>
        <w:br w:type="page"/>
      </w:r>
    </w:p>
    <w:p>
      <w:pPr>
        <w:pStyle w:val="52"/>
        <w:spacing w:line="360" w:lineRule="auto"/>
        <w:jc w:val="left"/>
        <w:rPr>
          <w:rFonts w:ascii="宋体" w:hAnsi="宋体"/>
          <w:b/>
          <w:color w:val="auto"/>
          <w:sz w:val="28"/>
        </w:rPr>
      </w:pPr>
      <w:r>
        <w:rPr>
          <w:rFonts w:hint="eastAsia" w:ascii="宋体" w:hAnsi="宋体"/>
          <w:b/>
          <w:color w:val="auto"/>
          <w:sz w:val="28"/>
        </w:rPr>
        <w:t>附件11</w:t>
      </w:r>
    </w:p>
    <w:p>
      <w:pPr>
        <w:spacing w:line="360" w:lineRule="auto"/>
        <w:ind w:left="549" w:hanging="549" w:hangingChars="171"/>
        <w:jc w:val="center"/>
        <w:rPr>
          <w:rFonts w:ascii="宋体" w:hAnsi="宋体"/>
          <w:b/>
          <w:color w:val="auto"/>
          <w:sz w:val="32"/>
          <w:szCs w:val="32"/>
        </w:rPr>
      </w:pPr>
      <w:r>
        <w:rPr>
          <w:rFonts w:hint="eastAsia" w:ascii="宋体" w:hAnsi="宋体"/>
          <w:b/>
          <w:color w:val="auto"/>
          <w:sz w:val="32"/>
          <w:szCs w:val="32"/>
        </w:rPr>
        <w:t>商务需求响应表</w:t>
      </w:r>
    </w:p>
    <w:p>
      <w:pPr>
        <w:spacing w:line="360" w:lineRule="auto"/>
        <w:ind w:left="481" w:leftChars="229" w:firstLine="813" w:firstLineChars="450"/>
        <w:rPr>
          <w:rFonts w:ascii="宋体" w:hAnsi="宋体"/>
          <w:b/>
          <w:color w:val="auto"/>
          <w:sz w:val="18"/>
          <w:szCs w:val="18"/>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rPr>
            </w:pPr>
            <w:r>
              <w:rPr>
                <w:rFonts w:hint="eastAsia" w:ascii="宋体" w:hAnsi="宋体"/>
                <w:b/>
                <w:color w:val="auto"/>
                <w:sz w:val="24"/>
              </w:rPr>
              <w:t>序号</w:t>
            </w:r>
          </w:p>
        </w:tc>
        <w:tc>
          <w:tcPr>
            <w:tcW w:w="1785" w:type="dxa"/>
            <w:vAlign w:val="center"/>
          </w:tcPr>
          <w:p>
            <w:pPr>
              <w:rPr>
                <w:rFonts w:ascii="宋体" w:hAnsi="宋体"/>
                <w:b/>
                <w:color w:val="auto"/>
                <w:sz w:val="24"/>
              </w:rPr>
            </w:pPr>
            <w:r>
              <w:rPr>
                <w:rFonts w:hint="eastAsia" w:ascii="宋体" w:hAnsi="宋体"/>
                <w:b/>
                <w:color w:val="auto"/>
                <w:sz w:val="24"/>
              </w:rPr>
              <w:t xml:space="preserve">   内容</w:t>
            </w:r>
          </w:p>
        </w:tc>
        <w:tc>
          <w:tcPr>
            <w:tcW w:w="1785" w:type="dxa"/>
            <w:vAlign w:val="center"/>
          </w:tcPr>
          <w:p>
            <w:pPr>
              <w:ind w:left="53" w:leftChars="25" w:firstLine="241" w:firstLineChars="100"/>
              <w:rPr>
                <w:rFonts w:ascii="宋体" w:hAnsi="宋体"/>
                <w:b/>
                <w:color w:val="auto"/>
                <w:sz w:val="24"/>
              </w:rPr>
            </w:pPr>
            <w:r>
              <w:rPr>
                <w:rFonts w:hint="eastAsia" w:ascii="宋体" w:hAnsi="宋体"/>
                <w:b/>
                <w:color w:val="auto"/>
                <w:sz w:val="24"/>
              </w:rPr>
              <w:t>招标需求</w:t>
            </w:r>
          </w:p>
        </w:tc>
        <w:tc>
          <w:tcPr>
            <w:tcW w:w="1365" w:type="dxa"/>
            <w:vAlign w:val="center"/>
          </w:tcPr>
          <w:p>
            <w:pPr>
              <w:ind w:left="152"/>
              <w:rPr>
                <w:rFonts w:ascii="宋体" w:hAnsi="宋体"/>
                <w:b/>
                <w:color w:val="auto"/>
                <w:sz w:val="24"/>
              </w:rPr>
            </w:pPr>
            <w:r>
              <w:rPr>
                <w:rFonts w:hint="eastAsia" w:ascii="宋体" w:hAnsi="宋体"/>
                <w:b/>
                <w:color w:val="auto"/>
                <w:sz w:val="24"/>
              </w:rPr>
              <w:t>是否响应</w:t>
            </w:r>
          </w:p>
        </w:tc>
        <w:tc>
          <w:tcPr>
            <w:tcW w:w="2625" w:type="dxa"/>
            <w:vAlign w:val="center"/>
          </w:tcPr>
          <w:p>
            <w:pPr>
              <w:jc w:val="center"/>
              <w:rPr>
                <w:rFonts w:ascii="宋体" w:hAnsi="宋体"/>
                <w:b/>
                <w:color w:val="auto"/>
                <w:sz w:val="24"/>
              </w:rPr>
            </w:pPr>
            <w:r>
              <w:rPr>
                <w:rFonts w:hint="eastAsia" w:ascii="宋体" w:hAnsi="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color w:val="auto"/>
                <w:sz w:val="24"/>
              </w:rPr>
            </w:pPr>
            <w:r>
              <w:rPr>
                <w:rFonts w:hint="eastAsia" w:ascii="宋体" w:hAnsi="宋体"/>
                <w:color w:val="auto"/>
                <w:sz w:val="24"/>
              </w:rPr>
              <w:t>1</w:t>
            </w:r>
          </w:p>
        </w:tc>
        <w:tc>
          <w:tcPr>
            <w:tcW w:w="1785" w:type="dxa"/>
            <w:vAlign w:val="center"/>
          </w:tcPr>
          <w:p>
            <w:pPr>
              <w:jc w:val="center"/>
              <w:rPr>
                <w:rFonts w:ascii="宋体" w:hAnsi="宋体"/>
                <w:color w:val="auto"/>
                <w:sz w:val="24"/>
              </w:rPr>
            </w:pPr>
            <w:r>
              <w:rPr>
                <w:rFonts w:hint="eastAsia" w:ascii="宋体" w:hAnsi="宋体"/>
                <w:color w:val="auto"/>
                <w:sz w:val="24"/>
              </w:rPr>
              <w:t>项目质保期</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color w:val="auto"/>
                <w:sz w:val="24"/>
              </w:rPr>
            </w:pPr>
            <w:r>
              <w:rPr>
                <w:rFonts w:hint="eastAsia" w:ascii="宋体" w:hAnsi="宋体"/>
                <w:color w:val="auto"/>
                <w:sz w:val="24"/>
              </w:rPr>
              <w:t>2</w:t>
            </w:r>
          </w:p>
        </w:tc>
        <w:tc>
          <w:tcPr>
            <w:tcW w:w="1785" w:type="dxa"/>
            <w:vAlign w:val="center"/>
          </w:tcPr>
          <w:p>
            <w:pPr>
              <w:jc w:val="center"/>
              <w:rPr>
                <w:rFonts w:ascii="宋体" w:hAnsi="宋体"/>
                <w:color w:val="auto"/>
                <w:sz w:val="24"/>
              </w:rPr>
            </w:pPr>
            <w:r>
              <w:rPr>
                <w:rFonts w:hint="eastAsia" w:ascii="宋体" w:hAnsi="宋体"/>
                <w:color w:val="auto"/>
                <w:sz w:val="24"/>
              </w:rPr>
              <w:t>交货期</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rPr>
            </w:pPr>
            <w:r>
              <w:rPr>
                <w:rFonts w:hint="eastAsia" w:ascii="宋体" w:hAnsi="宋体"/>
                <w:color w:val="auto"/>
                <w:sz w:val="24"/>
              </w:rPr>
              <w:t>3</w:t>
            </w:r>
          </w:p>
        </w:tc>
        <w:tc>
          <w:tcPr>
            <w:tcW w:w="1785" w:type="dxa"/>
            <w:vAlign w:val="center"/>
          </w:tcPr>
          <w:p>
            <w:pPr>
              <w:jc w:val="center"/>
              <w:rPr>
                <w:rFonts w:ascii="宋体" w:hAnsi="宋体"/>
                <w:color w:val="auto"/>
                <w:sz w:val="24"/>
              </w:rPr>
            </w:pPr>
            <w:r>
              <w:rPr>
                <w:rFonts w:hint="eastAsia" w:ascii="宋体" w:hAnsi="宋体"/>
                <w:color w:val="auto"/>
                <w:sz w:val="24"/>
              </w:rPr>
              <w:t>付款方式</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olor w:val="auto"/>
                <w:sz w:val="24"/>
              </w:rPr>
            </w:pPr>
            <w:r>
              <w:rPr>
                <w:rFonts w:hint="eastAsia" w:ascii="宋体" w:hAnsi="宋体"/>
                <w:color w:val="auto"/>
                <w:sz w:val="24"/>
              </w:rPr>
              <w:t>4</w:t>
            </w:r>
          </w:p>
        </w:tc>
        <w:tc>
          <w:tcPr>
            <w:tcW w:w="1785" w:type="dxa"/>
            <w:vAlign w:val="center"/>
          </w:tcPr>
          <w:p>
            <w:pPr>
              <w:jc w:val="center"/>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r>
              <w:rPr>
                <w:rFonts w:hint="eastAsia" w:ascii="宋体" w:hAnsi="宋体"/>
                <w:color w:val="auto"/>
                <w:sz w:val="24"/>
              </w:rPr>
              <w:t>……</w:t>
            </w: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rPr>
            </w:pPr>
          </w:p>
        </w:tc>
        <w:tc>
          <w:tcPr>
            <w:tcW w:w="1785" w:type="dxa"/>
          </w:tcPr>
          <w:p>
            <w:pPr>
              <w:snapToGrid w:val="0"/>
              <w:rPr>
                <w:rFonts w:ascii="宋体" w:hAnsi="宋体"/>
                <w:color w:val="auto"/>
                <w:sz w:val="24"/>
              </w:rPr>
            </w:pPr>
          </w:p>
        </w:tc>
        <w:tc>
          <w:tcPr>
            <w:tcW w:w="1785" w:type="dxa"/>
            <w:vAlign w:val="center"/>
          </w:tcPr>
          <w:p>
            <w:pPr>
              <w:rPr>
                <w:rFonts w:ascii="宋体" w:hAnsi="宋体"/>
                <w:color w:val="auto"/>
                <w:sz w:val="24"/>
              </w:rPr>
            </w:pPr>
          </w:p>
        </w:tc>
        <w:tc>
          <w:tcPr>
            <w:tcW w:w="1365" w:type="dxa"/>
            <w:vAlign w:val="center"/>
          </w:tcPr>
          <w:p>
            <w:pPr>
              <w:rPr>
                <w:rFonts w:ascii="宋体" w:hAnsi="宋体"/>
                <w:color w:val="auto"/>
                <w:sz w:val="24"/>
              </w:rPr>
            </w:pPr>
          </w:p>
        </w:tc>
        <w:tc>
          <w:tcPr>
            <w:tcW w:w="2625" w:type="dxa"/>
            <w:vAlign w:val="center"/>
          </w:tcPr>
          <w:p>
            <w:pPr>
              <w:rPr>
                <w:rFonts w:ascii="宋体" w:hAnsi="宋体"/>
                <w:color w:val="auto"/>
                <w:sz w:val="24"/>
              </w:rPr>
            </w:pPr>
          </w:p>
        </w:tc>
      </w:tr>
    </w:tbl>
    <w:p>
      <w:pPr>
        <w:spacing w:line="360" w:lineRule="auto"/>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投标人名称（盖章）：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日        期：</w:t>
      </w:r>
    </w:p>
    <w:p>
      <w:pPr>
        <w:rPr>
          <w:color w:val="auto"/>
        </w:rPr>
      </w:pPr>
    </w:p>
    <w:p>
      <w:pPr>
        <w:pStyle w:val="2"/>
        <w:rPr>
          <w:color w:val="auto"/>
        </w:rPr>
      </w:pPr>
    </w:p>
    <w:p>
      <w:pPr>
        <w:pStyle w:val="3"/>
        <w:rPr>
          <w:color w:val="auto"/>
        </w:rPr>
      </w:pPr>
    </w:p>
    <w:p>
      <w:pPr>
        <w:pStyle w:val="4"/>
        <w:rPr>
          <w:color w:val="auto"/>
        </w:rPr>
      </w:pPr>
    </w:p>
    <w:p>
      <w:pPr>
        <w:rPr>
          <w:color w:val="auto"/>
        </w:rPr>
      </w:pPr>
    </w:p>
    <w:p>
      <w:pPr>
        <w:pStyle w:val="2"/>
        <w:rPr>
          <w:color w:val="auto"/>
        </w:rPr>
      </w:pPr>
    </w:p>
    <w:p>
      <w:pPr>
        <w:pStyle w:val="3"/>
        <w:rPr>
          <w:color w:val="auto"/>
        </w:rPr>
      </w:pPr>
    </w:p>
    <w:p>
      <w:pPr>
        <w:pStyle w:val="72"/>
        <w:rPr>
          <w:rFonts w:hint="eastAsia"/>
          <w:b/>
          <w:bCs/>
        </w:rPr>
      </w:pPr>
      <w:r>
        <w:rPr>
          <w:rFonts w:hint="eastAsia"/>
          <w:b/>
          <w:bCs/>
          <w:sz w:val="21"/>
          <w:szCs w:val="21"/>
          <w:lang w:val="en-US" w:eastAsia="zh-CN"/>
        </w:rPr>
        <w:t>附件12：</w:t>
      </w:r>
    </w:p>
    <w:p>
      <w:pPr>
        <w:pStyle w:val="72"/>
        <w:rPr>
          <w:rFonts w:hint="eastAsia"/>
        </w:rPr>
      </w:pPr>
    </w:p>
    <w:p>
      <w:pPr>
        <w:pStyle w:val="72"/>
        <w:rPr>
          <w:rFonts w:hint="eastAsia"/>
        </w:rPr>
      </w:pPr>
    </w:p>
    <w:p>
      <w:pPr>
        <w:pStyle w:val="72"/>
        <w:rPr>
          <w:rFonts w:hint="eastAsia"/>
          <w:b/>
          <w:bCs/>
        </w:rPr>
      </w:pPr>
      <w:r>
        <w:rPr>
          <w:rFonts w:hint="eastAsia"/>
          <w:b/>
          <w:bCs/>
          <w:sz w:val="21"/>
          <w:szCs w:val="21"/>
          <w:lang w:val="en-US" w:eastAsia="zh-CN"/>
        </w:rPr>
        <w:t>附件三：</w:t>
      </w:r>
    </w:p>
    <w:p>
      <w:pPr>
        <w:pStyle w:val="72"/>
        <w:rPr>
          <w:rFonts w:hint="eastAsia"/>
        </w:rPr>
      </w:pPr>
    </w:p>
    <w:p>
      <w:pPr>
        <w:pStyle w:val="72"/>
        <w:rPr>
          <w:rFonts w:hint="eastAsia"/>
        </w:rPr>
      </w:pPr>
    </w:p>
    <w:p>
      <w:pPr>
        <w:pStyle w:val="6"/>
        <w:spacing w:before="0" w:after="0" w:line="360" w:lineRule="auto"/>
        <w:ind w:firstLine="3534" w:firstLineChars="1100"/>
        <w:jc w:val="both"/>
      </w:pPr>
      <w:r>
        <w:rPr>
          <w:rFonts w:hint="eastAsia"/>
          <w:lang w:val="en-US" w:eastAsia="zh-CN"/>
        </w:rPr>
        <w:t>四、</w:t>
      </w:r>
      <w:r>
        <w:t>投标保证金</w:t>
      </w:r>
    </w:p>
    <w:p>
      <w:pPr>
        <w:spacing w:line="360" w:lineRule="auto"/>
        <w:rPr>
          <w:u w:val="single"/>
        </w:rPr>
      </w:pPr>
    </w:p>
    <w:p>
      <w:pPr>
        <w:spacing w:line="360" w:lineRule="auto"/>
        <w:rPr>
          <w:u w:val="single"/>
        </w:rPr>
      </w:pPr>
    </w:p>
    <w:p>
      <w:pPr>
        <w:spacing w:line="360" w:lineRule="auto"/>
      </w:pPr>
      <w:r>
        <w:rPr>
          <w:u w:val="single"/>
        </w:rPr>
        <w:t xml:space="preserve">         </w:t>
      </w:r>
      <w:r>
        <w:rPr>
          <w:u w:val="single"/>
        </w:rPr>
        <w:tab/>
      </w:r>
      <w:r>
        <w:rPr>
          <w:u w:val="single"/>
        </w:rPr>
        <w:tab/>
      </w:r>
      <w:r>
        <w:rPr>
          <w:u w:val="single"/>
        </w:rPr>
        <w:t xml:space="preserve">  </w:t>
      </w:r>
      <w:r>
        <w:t>（招标人名称）：</w:t>
      </w:r>
    </w:p>
    <w:p>
      <w:pPr>
        <w:spacing w:line="360" w:lineRule="auto"/>
      </w:pPr>
    </w:p>
    <w:p>
      <w:pPr>
        <w:spacing w:line="360" w:lineRule="auto"/>
        <w:ind w:firstLine="420" w:firstLineChars="200"/>
      </w:pPr>
      <w:r>
        <w:rPr>
          <w:rFonts w:hint="eastAsia"/>
        </w:rPr>
        <w:t>我方</w:t>
      </w:r>
      <w:r>
        <w:t>于</w:t>
      </w:r>
      <w:r>
        <w:rPr>
          <w:u w:val="single"/>
        </w:rPr>
        <w:t xml:space="preserve">  </w:t>
      </w:r>
      <w:r>
        <w:rPr>
          <w:rFonts w:hint="eastAsia"/>
          <w:u w:val="single"/>
        </w:rP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日参加</w:t>
      </w:r>
      <w:r>
        <w:rPr>
          <w:u w:val="single"/>
        </w:rPr>
        <w:t xml:space="preserve">   </w:t>
      </w:r>
      <w:r>
        <w:rPr>
          <w:rFonts w:hint="eastAsia"/>
          <w:u w:val="single"/>
        </w:rPr>
        <w:t xml:space="preserve">    </w:t>
      </w:r>
      <w:r>
        <w:rPr>
          <w:u w:val="single"/>
        </w:rPr>
        <w:t xml:space="preserve">      </w:t>
      </w:r>
      <w:r>
        <w:t>（项目名称）的投标，</w:t>
      </w:r>
      <w:r>
        <w:rPr>
          <w:rFonts w:hint="eastAsia"/>
        </w:rPr>
        <w:t>现</w:t>
      </w:r>
      <w:r>
        <w:t>保证：</w:t>
      </w:r>
      <w:r>
        <w:rPr>
          <w:rFonts w:hint="eastAsia"/>
        </w:rPr>
        <w:t>我方</w:t>
      </w:r>
      <w:r>
        <w:t>在规定的投标有效期内撤销或修改投标文件的，或者在收到中标通知书后无正当理由拒签合同或拒交规定履约担保的，</w:t>
      </w:r>
      <w:r>
        <w:rPr>
          <w:rFonts w:hint="eastAsia"/>
        </w:rPr>
        <w:t>投标保证金不予退还</w:t>
      </w:r>
      <w:r>
        <w:t>。</w:t>
      </w:r>
    </w:p>
    <w:p>
      <w:pPr>
        <w:spacing w:line="360" w:lineRule="auto"/>
      </w:pPr>
    </w:p>
    <w:p>
      <w:pPr>
        <w:spacing w:line="360" w:lineRule="auto"/>
      </w:pPr>
    </w:p>
    <w:p>
      <w:pPr>
        <w:spacing w:line="360" w:lineRule="auto"/>
      </w:pPr>
    </w:p>
    <w:p>
      <w:pPr>
        <w:spacing w:line="360" w:lineRule="auto"/>
      </w:pPr>
    </w:p>
    <w:p>
      <w:pPr>
        <w:spacing w:line="360" w:lineRule="auto"/>
        <w:ind w:firstLine="2158" w:firstLineChars="1028"/>
      </w:pPr>
      <w:r>
        <w:rPr>
          <w:rFonts w:hint="eastAsia"/>
        </w:rPr>
        <w:t>投标人</w:t>
      </w:r>
      <w:r>
        <w:t>名称：</w:t>
      </w:r>
      <w:r>
        <w:rPr>
          <w:u w:val="single"/>
        </w:rPr>
        <w:t xml:space="preserve">                              </w:t>
      </w:r>
      <w:r>
        <w:t>（盖单位章）</w:t>
      </w:r>
    </w:p>
    <w:p>
      <w:pPr>
        <w:spacing w:line="360" w:lineRule="auto"/>
        <w:ind w:firstLine="2158" w:firstLineChars="1028"/>
      </w:pPr>
      <w:r>
        <w:t>法定代表人或</w:t>
      </w:r>
      <w:r>
        <w:rPr>
          <w:rFonts w:hint="eastAsia"/>
        </w:rPr>
        <w:t>授权</w:t>
      </w:r>
      <w:r>
        <w:t>人：</w:t>
      </w:r>
      <w:r>
        <w:rPr>
          <w:u w:val="single"/>
        </w:rPr>
        <w:t xml:space="preserve">           </w:t>
      </w:r>
      <w:r>
        <w:rPr>
          <w:rFonts w:hint="eastAsia"/>
          <w:u w:val="single"/>
        </w:rPr>
        <w:t xml:space="preserve">      </w:t>
      </w:r>
      <w:r>
        <w:rPr>
          <w:u w:val="single"/>
        </w:rPr>
        <w:t xml:space="preserve">         </w:t>
      </w:r>
      <w:r>
        <w:t>（签字）</w:t>
      </w:r>
    </w:p>
    <w:p>
      <w:pPr>
        <w:spacing w:line="360" w:lineRule="auto"/>
        <w:ind w:firstLine="2158" w:firstLineChars="1028"/>
      </w:pPr>
      <w:r>
        <w:t>地    址：</w:t>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rPr>
          <w:u w:val="single"/>
        </w:rPr>
      </w:pPr>
      <w:r>
        <w:t>邮政编码：</w:t>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pPr>
      <w:r>
        <w:t>电    话：</w:t>
      </w:r>
      <w:r>
        <w:rPr>
          <w:u w:val="single"/>
        </w:rPr>
        <w:t xml:space="preserve">                                         </w:t>
      </w:r>
      <w:r>
        <w:rPr>
          <w:rFonts w:hint="eastAsia"/>
          <w:u w:val="single"/>
        </w:rPr>
        <w:t xml:space="preserve"> </w:t>
      </w:r>
    </w:p>
    <w:p>
      <w:pPr>
        <w:spacing w:line="360" w:lineRule="auto"/>
        <w:ind w:firstLine="3838" w:firstLineChars="1828"/>
      </w:pPr>
      <w:r>
        <w:rPr>
          <w:u w:val="single"/>
        </w:rPr>
        <w:t xml:space="preserve">        </w:t>
      </w:r>
      <w:r>
        <w:t>年</w:t>
      </w:r>
      <w:r>
        <w:rPr>
          <w:u w:val="single"/>
        </w:rPr>
        <w:t xml:space="preserve">       </w:t>
      </w:r>
      <w:r>
        <w:t>月</w:t>
      </w:r>
      <w:r>
        <w:rPr>
          <w:u w:val="single"/>
        </w:rPr>
        <w:t xml:space="preserve">       </w:t>
      </w:r>
      <w:r>
        <w:t>日</w:t>
      </w:r>
    </w:p>
    <w:p>
      <w:pPr>
        <w:spacing w:line="360" w:lineRule="auto"/>
      </w:pPr>
    </w:p>
    <w:p>
      <w:pPr>
        <w:spacing w:line="360" w:lineRule="auto"/>
        <w:rPr>
          <w:u w:val="single"/>
        </w:rPr>
      </w:pPr>
    </w:p>
    <w:p>
      <w:pPr>
        <w:spacing w:line="360" w:lineRule="auto"/>
        <w:rPr>
          <w:u w:val="single"/>
        </w:rPr>
      </w:pPr>
    </w:p>
    <w:p>
      <w:pPr>
        <w:spacing w:line="360" w:lineRule="auto"/>
      </w:pPr>
      <w:r>
        <w:rPr>
          <w:u w:val="single"/>
        </w:rPr>
        <w:t xml:space="preserve">         </w:t>
      </w:r>
      <w:r>
        <w:rPr>
          <w:u w:val="single"/>
        </w:rPr>
        <w:tab/>
      </w:r>
      <w:r>
        <w:rPr>
          <w:u w:val="single"/>
        </w:rPr>
        <w:tab/>
      </w:r>
      <w:r>
        <w:rPr>
          <w:u w:val="single"/>
        </w:rPr>
        <w:t xml:space="preserve">  </w:t>
      </w:r>
      <w:r>
        <w:t>（招标人名称）：</w:t>
      </w:r>
    </w:p>
    <w:p>
      <w:pPr>
        <w:spacing w:line="360" w:lineRule="auto"/>
      </w:pPr>
    </w:p>
    <w:p>
      <w:pPr>
        <w:spacing w:line="360" w:lineRule="auto"/>
        <w:ind w:firstLine="420" w:firstLineChars="200"/>
      </w:pPr>
      <w:r>
        <w:rPr>
          <w:rFonts w:hint="eastAsia"/>
        </w:rPr>
        <w:t>我方</w:t>
      </w:r>
      <w:r>
        <w:t>于</w:t>
      </w:r>
      <w:r>
        <w:rPr>
          <w:u w:val="single"/>
        </w:rPr>
        <w:t xml:space="preserve">  </w:t>
      </w:r>
      <w:r>
        <w:rPr>
          <w:rFonts w:hint="eastAsia"/>
          <w:u w:val="single"/>
        </w:rPr>
        <w:t xml:space="preserve">  </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日参加</w:t>
      </w:r>
      <w:r>
        <w:rPr>
          <w:u w:val="single"/>
        </w:rPr>
        <w:t xml:space="preserve">   </w:t>
      </w:r>
      <w:r>
        <w:rPr>
          <w:rFonts w:hint="eastAsia"/>
          <w:u w:val="single"/>
        </w:rPr>
        <w:t xml:space="preserve">    </w:t>
      </w:r>
      <w:r>
        <w:rPr>
          <w:u w:val="single"/>
        </w:rPr>
        <w:t xml:space="preserve">      </w:t>
      </w:r>
      <w:r>
        <w:t>（项目名称）的投标，</w:t>
      </w:r>
      <w:r>
        <w:rPr>
          <w:rFonts w:hint="eastAsia"/>
        </w:rPr>
        <w:t>现</w:t>
      </w:r>
      <w:r>
        <w:t>保证：</w:t>
      </w:r>
      <w:r>
        <w:rPr>
          <w:rFonts w:hint="eastAsia"/>
        </w:rPr>
        <w:t>我方</w:t>
      </w:r>
      <w:r>
        <w:t>在规定的投标有效期内撤销或修改投标文件的，或者在收到中标通知书后无正当理由拒签合同或拒交规定履约担保的，</w:t>
      </w:r>
      <w:r>
        <w:rPr>
          <w:rFonts w:hint="eastAsia"/>
        </w:rPr>
        <w:t>投标保证金不予退还</w:t>
      </w:r>
      <w:r>
        <w:t>。</w:t>
      </w:r>
    </w:p>
    <w:p>
      <w:pPr>
        <w:spacing w:line="360" w:lineRule="auto"/>
      </w:pPr>
    </w:p>
    <w:p>
      <w:pPr>
        <w:spacing w:line="360" w:lineRule="auto"/>
      </w:pPr>
    </w:p>
    <w:p>
      <w:pPr>
        <w:spacing w:line="360" w:lineRule="auto"/>
      </w:pPr>
    </w:p>
    <w:p>
      <w:pPr>
        <w:spacing w:line="360" w:lineRule="auto"/>
      </w:pPr>
    </w:p>
    <w:p>
      <w:pPr>
        <w:spacing w:line="360" w:lineRule="auto"/>
        <w:ind w:firstLine="2158" w:firstLineChars="1028"/>
      </w:pPr>
      <w:r>
        <w:rPr>
          <w:rFonts w:hint="eastAsia"/>
        </w:rPr>
        <w:t>投标人</w:t>
      </w:r>
      <w:r>
        <w:t>名称：</w:t>
      </w:r>
      <w:r>
        <w:rPr>
          <w:u w:val="single"/>
        </w:rPr>
        <w:t xml:space="preserve">                              </w:t>
      </w:r>
      <w:r>
        <w:t>（盖单位章）</w:t>
      </w:r>
    </w:p>
    <w:p>
      <w:pPr>
        <w:spacing w:line="360" w:lineRule="auto"/>
        <w:ind w:firstLine="2158" w:firstLineChars="1028"/>
      </w:pPr>
      <w:r>
        <w:t>法定代表人或</w:t>
      </w:r>
      <w:r>
        <w:rPr>
          <w:rFonts w:hint="eastAsia"/>
        </w:rPr>
        <w:t>授权</w:t>
      </w:r>
      <w:r>
        <w:t>人：</w:t>
      </w:r>
      <w:r>
        <w:rPr>
          <w:u w:val="single"/>
        </w:rPr>
        <w:t xml:space="preserve">           </w:t>
      </w:r>
      <w:r>
        <w:rPr>
          <w:rFonts w:hint="eastAsia"/>
          <w:u w:val="single"/>
        </w:rPr>
        <w:t xml:space="preserve">      </w:t>
      </w:r>
      <w:r>
        <w:rPr>
          <w:u w:val="single"/>
        </w:rPr>
        <w:t xml:space="preserve">         </w:t>
      </w:r>
      <w:r>
        <w:t>（签字）</w:t>
      </w:r>
    </w:p>
    <w:p>
      <w:pPr>
        <w:spacing w:line="360" w:lineRule="auto"/>
        <w:ind w:firstLine="2158" w:firstLineChars="1028"/>
      </w:pPr>
      <w:r>
        <w:t>地    址：</w:t>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rPr>
          <w:u w:val="single"/>
        </w:rPr>
      </w:pPr>
      <w:r>
        <w:t>邮政编码：</w:t>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p>
    <w:p>
      <w:pPr>
        <w:spacing w:line="360" w:lineRule="auto"/>
        <w:ind w:firstLine="2158" w:firstLineChars="1028"/>
      </w:pPr>
      <w:r>
        <w:t>电    话：</w:t>
      </w:r>
      <w:r>
        <w:rPr>
          <w:u w:val="single"/>
        </w:rPr>
        <w:t xml:space="preserve">                                         </w:t>
      </w:r>
      <w:r>
        <w:rPr>
          <w:rFonts w:hint="eastAsia"/>
          <w:u w:val="single"/>
        </w:rPr>
        <w:t xml:space="preserve"> </w:t>
      </w:r>
    </w:p>
    <w:p>
      <w:pPr>
        <w:spacing w:line="360" w:lineRule="auto"/>
        <w:ind w:firstLine="3838" w:firstLineChars="1828"/>
      </w:pPr>
      <w:r>
        <w:rPr>
          <w:u w:val="single"/>
        </w:rPr>
        <w:t xml:space="preserve">        </w:t>
      </w:r>
      <w:r>
        <w:t>年</w:t>
      </w:r>
      <w:r>
        <w:rPr>
          <w:u w:val="single"/>
        </w:rPr>
        <w:t xml:space="preserve">       </w:t>
      </w:r>
      <w:r>
        <w:t>月</w:t>
      </w:r>
      <w:r>
        <w:rPr>
          <w:u w:val="single"/>
        </w:rPr>
        <w:t xml:space="preserve">       </w:t>
      </w:r>
      <w:r>
        <w:t>日</w:t>
      </w:r>
    </w:p>
    <w:p>
      <w:pPr>
        <w:spacing w:line="360" w:lineRule="auto"/>
      </w:pPr>
    </w:p>
    <w:p>
      <w:pPr>
        <w:pStyle w:val="4"/>
      </w:pPr>
    </w:p>
    <w:sectPr>
      <w:headerReference r:id="rId3" w:type="default"/>
      <w:footerReference r:id="rId4" w:type="default"/>
      <w:pgSz w:w="11906" w:h="16838"/>
      <w:pgMar w:top="1440" w:right="1585"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60858"/>
    <w:multiLevelType w:val="singleLevel"/>
    <w:tmpl w:val="96E60858"/>
    <w:lvl w:ilvl="0" w:tentative="0">
      <w:start w:val="1"/>
      <w:numFmt w:val="chineseCounting"/>
      <w:suff w:val="nothing"/>
      <w:lvlText w:val="%1、"/>
      <w:lvlJc w:val="left"/>
      <w:pPr>
        <w:ind w:left="0" w:firstLine="420"/>
      </w:pPr>
      <w:rPr>
        <w:rFonts w:hint="eastAsia"/>
      </w:rPr>
    </w:lvl>
  </w:abstractNum>
  <w:abstractNum w:abstractNumId="1">
    <w:nsid w:val="99EFA052"/>
    <w:multiLevelType w:val="singleLevel"/>
    <w:tmpl w:val="99EFA052"/>
    <w:lvl w:ilvl="0" w:tentative="0">
      <w:start w:val="2"/>
      <w:numFmt w:val="decimal"/>
      <w:suff w:val="nothing"/>
      <w:lvlText w:val="%1、"/>
      <w:lvlJc w:val="left"/>
      <w:pPr>
        <w:ind w:left="420" w:firstLine="0"/>
      </w:pPr>
    </w:lvl>
  </w:abstractNum>
  <w:abstractNum w:abstractNumId="2">
    <w:nsid w:val="A919638B"/>
    <w:multiLevelType w:val="singleLevel"/>
    <w:tmpl w:val="A919638B"/>
    <w:lvl w:ilvl="0" w:tentative="0">
      <w:start w:val="1"/>
      <w:numFmt w:val="chineseCounting"/>
      <w:suff w:val="nothing"/>
      <w:lvlText w:val="%1、"/>
      <w:lvlJc w:val="left"/>
      <w:pPr>
        <w:ind w:left="210" w:firstLine="420"/>
      </w:pPr>
      <w:rPr>
        <w:rFonts w:hint="eastAsia"/>
      </w:rPr>
    </w:lvl>
  </w:abstractNum>
  <w:abstractNum w:abstractNumId="3">
    <w:nsid w:val="AE2D8F7B"/>
    <w:multiLevelType w:val="singleLevel"/>
    <w:tmpl w:val="AE2D8F7B"/>
    <w:lvl w:ilvl="0" w:tentative="0">
      <w:start w:val="1"/>
      <w:numFmt w:val="decimal"/>
      <w:pStyle w:val="10"/>
      <w:lvlText w:val="%1."/>
      <w:lvlJc w:val="left"/>
      <w:pPr>
        <w:tabs>
          <w:tab w:val="left" w:pos="360"/>
        </w:tabs>
        <w:ind w:left="360" w:hanging="360"/>
      </w:pPr>
    </w:lvl>
  </w:abstractNum>
  <w:abstractNum w:abstractNumId="4">
    <w:nsid w:val="BE29A720"/>
    <w:multiLevelType w:val="singleLevel"/>
    <w:tmpl w:val="BE29A720"/>
    <w:lvl w:ilvl="0" w:tentative="0">
      <w:start w:val="5"/>
      <w:numFmt w:val="chineseCounting"/>
      <w:suff w:val="space"/>
      <w:lvlText w:val="第%1章"/>
      <w:lvlJc w:val="left"/>
      <w:pPr>
        <w:tabs>
          <w:tab w:val="left" w:pos="0"/>
        </w:tabs>
      </w:pPr>
      <w:rPr>
        <w:rFonts w:hint="eastAsia"/>
      </w:rPr>
    </w:lvl>
  </w:abstractNum>
  <w:abstractNum w:abstractNumId="5">
    <w:nsid w:val="D59FA390"/>
    <w:multiLevelType w:val="singleLevel"/>
    <w:tmpl w:val="D59FA390"/>
    <w:lvl w:ilvl="0" w:tentative="0">
      <w:start w:val="1"/>
      <w:numFmt w:val="decimal"/>
      <w:suff w:val="nothing"/>
      <w:lvlText w:val="%1．"/>
      <w:lvlJc w:val="left"/>
      <w:pPr>
        <w:ind w:left="0" w:firstLine="400"/>
      </w:pPr>
      <w:rPr>
        <w:rFonts w:hint="default"/>
      </w:rPr>
    </w:lvl>
  </w:abstractNum>
  <w:abstractNum w:abstractNumId="6">
    <w:nsid w:val="E1BA29EC"/>
    <w:multiLevelType w:val="singleLevel"/>
    <w:tmpl w:val="E1BA29EC"/>
    <w:lvl w:ilvl="0" w:tentative="0">
      <w:start w:val="1"/>
      <w:numFmt w:val="decimal"/>
      <w:suff w:val="nothing"/>
      <w:lvlText w:val="%1．"/>
      <w:lvlJc w:val="left"/>
      <w:pPr>
        <w:ind w:left="0" w:firstLine="400"/>
      </w:pPr>
      <w:rPr>
        <w:rFonts w:hint="default"/>
      </w:rPr>
    </w:lvl>
  </w:abstractNum>
  <w:abstractNum w:abstractNumId="7">
    <w:nsid w:val="E297A808"/>
    <w:multiLevelType w:val="singleLevel"/>
    <w:tmpl w:val="E297A808"/>
    <w:lvl w:ilvl="0" w:tentative="0">
      <w:start w:val="1"/>
      <w:numFmt w:val="lowerLetter"/>
      <w:lvlText w:val="%1."/>
      <w:lvlJc w:val="left"/>
      <w:pPr>
        <w:ind w:left="425" w:hanging="425"/>
      </w:pPr>
      <w:rPr>
        <w:rFonts w:hint="default"/>
      </w:rPr>
    </w:lvl>
  </w:abstractNum>
  <w:abstractNum w:abstractNumId="8">
    <w:nsid w:val="F1B76EAC"/>
    <w:multiLevelType w:val="multilevel"/>
    <w:tmpl w:val="F1B76EA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F439D880"/>
    <w:multiLevelType w:val="singleLevel"/>
    <w:tmpl w:val="F439D880"/>
    <w:lvl w:ilvl="0" w:tentative="0">
      <w:start w:val="1"/>
      <w:numFmt w:val="decimal"/>
      <w:suff w:val="nothing"/>
      <w:lvlText w:val="%1．"/>
      <w:lvlJc w:val="left"/>
      <w:pPr>
        <w:ind w:left="0" w:firstLine="400"/>
      </w:pPr>
      <w:rPr>
        <w:rFonts w:hint="default"/>
      </w:rPr>
    </w:lvl>
  </w:abstractNum>
  <w:abstractNum w:abstractNumId="10">
    <w:nsid w:val="F7A557DE"/>
    <w:multiLevelType w:val="singleLevel"/>
    <w:tmpl w:val="F7A557DE"/>
    <w:lvl w:ilvl="0" w:tentative="0">
      <w:start w:val="1"/>
      <w:numFmt w:val="decimal"/>
      <w:lvlText w:val="(%1)"/>
      <w:lvlJc w:val="left"/>
      <w:pPr>
        <w:ind w:left="425" w:hanging="425"/>
      </w:pPr>
      <w:rPr>
        <w:rFonts w:hint="default"/>
      </w:rPr>
    </w:lvl>
  </w:abstractNum>
  <w:abstractNum w:abstractNumId="11">
    <w:nsid w:val="14DC4B6F"/>
    <w:multiLevelType w:val="singleLevel"/>
    <w:tmpl w:val="14DC4B6F"/>
    <w:lvl w:ilvl="0" w:tentative="0">
      <w:start w:val="2"/>
      <w:numFmt w:val="chineseCounting"/>
      <w:suff w:val="space"/>
      <w:lvlText w:val="第%1章"/>
      <w:lvlJc w:val="left"/>
      <w:pPr>
        <w:tabs>
          <w:tab w:val="left" w:pos="0"/>
        </w:tabs>
      </w:pPr>
      <w:rPr>
        <w:rFonts w:hint="eastAsia"/>
      </w:rPr>
    </w:lvl>
  </w:abstractNum>
  <w:abstractNum w:abstractNumId="12">
    <w:nsid w:val="3D2B00FF"/>
    <w:multiLevelType w:val="singleLevel"/>
    <w:tmpl w:val="3D2B00FF"/>
    <w:lvl w:ilvl="0" w:tentative="0">
      <w:start w:val="1"/>
      <w:numFmt w:val="lowerLetter"/>
      <w:lvlText w:val="%1."/>
      <w:lvlJc w:val="left"/>
      <w:pPr>
        <w:ind w:left="425" w:hanging="425"/>
      </w:pPr>
      <w:rPr>
        <w:rFonts w:hint="default"/>
      </w:rPr>
    </w:lvl>
  </w:abstractNum>
  <w:abstractNum w:abstractNumId="13">
    <w:nsid w:val="45C9998F"/>
    <w:multiLevelType w:val="singleLevel"/>
    <w:tmpl w:val="45C9998F"/>
    <w:lvl w:ilvl="0" w:tentative="0">
      <w:start w:val="1"/>
      <w:numFmt w:val="decimal"/>
      <w:suff w:val="nothing"/>
      <w:lvlText w:val="%1．"/>
      <w:lvlJc w:val="left"/>
      <w:pPr>
        <w:ind w:left="0" w:firstLine="400"/>
      </w:pPr>
      <w:rPr>
        <w:rFonts w:hint="default"/>
      </w:rPr>
    </w:lvl>
  </w:abstractNum>
  <w:abstractNum w:abstractNumId="14">
    <w:nsid w:val="461E5E94"/>
    <w:multiLevelType w:val="singleLevel"/>
    <w:tmpl w:val="461E5E94"/>
    <w:lvl w:ilvl="0" w:tentative="0">
      <w:start w:val="2"/>
      <w:numFmt w:val="chineseCounting"/>
      <w:suff w:val="space"/>
      <w:lvlText w:val="第%1章"/>
      <w:lvlJc w:val="left"/>
      <w:rPr>
        <w:rFonts w:hint="eastAsia"/>
      </w:rPr>
    </w:lvl>
  </w:abstractNum>
  <w:abstractNum w:abstractNumId="1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6">
    <w:nsid w:val="60DCA0E7"/>
    <w:multiLevelType w:val="singleLevel"/>
    <w:tmpl w:val="60DCA0E7"/>
    <w:lvl w:ilvl="0" w:tentative="0">
      <w:start w:val="1"/>
      <w:numFmt w:val="decimal"/>
      <w:suff w:val="nothing"/>
      <w:lvlText w:val="%1．"/>
      <w:lvlJc w:val="left"/>
      <w:pPr>
        <w:ind w:left="0" w:firstLine="400"/>
      </w:pPr>
      <w:rPr>
        <w:rFonts w:hint="default"/>
      </w:rPr>
    </w:lvl>
  </w:abstractNum>
  <w:abstractNum w:abstractNumId="17">
    <w:nsid w:val="62A0C3A2"/>
    <w:multiLevelType w:val="singleLevel"/>
    <w:tmpl w:val="62A0C3A2"/>
    <w:lvl w:ilvl="0" w:tentative="0">
      <w:start w:val="1"/>
      <w:numFmt w:val="decimal"/>
      <w:suff w:val="nothing"/>
      <w:lvlText w:val="%1．"/>
      <w:lvlJc w:val="left"/>
      <w:pPr>
        <w:ind w:left="0" w:firstLine="400"/>
      </w:pPr>
      <w:rPr>
        <w:rFonts w:hint="default"/>
      </w:rPr>
    </w:lvl>
  </w:abstractNum>
  <w:num w:numId="1">
    <w:abstractNumId w:val="3"/>
  </w:num>
  <w:num w:numId="2">
    <w:abstractNumId w:val="15"/>
  </w:num>
  <w:num w:numId="3">
    <w:abstractNumId w:val="2"/>
  </w:num>
  <w:num w:numId="4">
    <w:abstractNumId w:val="16"/>
  </w:num>
  <w:num w:numId="5">
    <w:abstractNumId w:val="8"/>
  </w:num>
  <w:num w:numId="6">
    <w:abstractNumId w:val="1"/>
  </w:num>
  <w:num w:numId="7">
    <w:abstractNumId w:val="11"/>
  </w:num>
  <w:num w:numId="8">
    <w:abstractNumId w:val="10"/>
  </w:num>
  <w:num w:numId="9">
    <w:abstractNumId w:val="9"/>
  </w:num>
  <w:num w:numId="10">
    <w:abstractNumId w:val="6"/>
  </w:num>
  <w:num w:numId="11">
    <w:abstractNumId w:val="13"/>
  </w:num>
  <w:num w:numId="12">
    <w:abstractNumId w:val="14"/>
  </w:num>
  <w:num w:numId="13">
    <w:abstractNumId w:val="0"/>
  </w:num>
  <w:num w:numId="14">
    <w:abstractNumId w:val="5"/>
  </w:num>
  <w:num w:numId="15">
    <w:abstractNumId w:val="17"/>
  </w:num>
  <w:num w:numId="16">
    <w:abstractNumId w:val="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GNkMWU0ZDQwMGY0MzllMGEwMWIxYjI5YjJlZmQifQ=="/>
  </w:docVars>
  <w:rsids>
    <w:rsidRoot w:val="004A50F8"/>
    <w:rsid w:val="00003697"/>
    <w:rsid w:val="00003841"/>
    <w:rsid w:val="00004520"/>
    <w:rsid w:val="000060A8"/>
    <w:rsid w:val="00012307"/>
    <w:rsid w:val="00012F0E"/>
    <w:rsid w:val="00013AB4"/>
    <w:rsid w:val="00017CFA"/>
    <w:rsid w:val="00026F9B"/>
    <w:rsid w:val="00027AA6"/>
    <w:rsid w:val="000305E3"/>
    <w:rsid w:val="000411D7"/>
    <w:rsid w:val="00044A1C"/>
    <w:rsid w:val="000558A0"/>
    <w:rsid w:val="00061703"/>
    <w:rsid w:val="000632AF"/>
    <w:rsid w:val="000636F1"/>
    <w:rsid w:val="0006559C"/>
    <w:rsid w:val="0007323A"/>
    <w:rsid w:val="00083B34"/>
    <w:rsid w:val="000964F3"/>
    <w:rsid w:val="0009793C"/>
    <w:rsid w:val="000A1AE8"/>
    <w:rsid w:val="000B7AB8"/>
    <w:rsid w:val="000C119D"/>
    <w:rsid w:val="000C4FF2"/>
    <w:rsid w:val="000D2827"/>
    <w:rsid w:val="000D415C"/>
    <w:rsid w:val="000E55B5"/>
    <w:rsid w:val="000F1694"/>
    <w:rsid w:val="000F17C9"/>
    <w:rsid w:val="000F209B"/>
    <w:rsid w:val="000F63FE"/>
    <w:rsid w:val="00100702"/>
    <w:rsid w:val="0010076D"/>
    <w:rsid w:val="001007A3"/>
    <w:rsid w:val="00100918"/>
    <w:rsid w:val="00100FFB"/>
    <w:rsid w:val="00107BA3"/>
    <w:rsid w:val="001101CB"/>
    <w:rsid w:val="00111C77"/>
    <w:rsid w:val="00113FF1"/>
    <w:rsid w:val="0013249C"/>
    <w:rsid w:val="00144F8B"/>
    <w:rsid w:val="00153832"/>
    <w:rsid w:val="001568DF"/>
    <w:rsid w:val="00160518"/>
    <w:rsid w:val="00164D3A"/>
    <w:rsid w:val="0016511A"/>
    <w:rsid w:val="00167A1E"/>
    <w:rsid w:val="00171380"/>
    <w:rsid w:val="001726E0"/>
    <w:rsid w:val="001732EB"/>
    <w:rsid w:val="001A7625"/>
    <w:rsid w:val="001B532E"/>
    <w:rsid w:val="001B6958"/>
    <w:rsid w:val="001C3EFD"/>
    <w:rsid w:val="001C57EB"/>
    <w:rsid w:val="001C5C38"/>
    <w:rsid w:val="001E1894"/>
    <w:rsid w:val="001E2DAC"/>
    <w:rsid w:val="001E5236"/>
    <w:rsid w:val="001E6D72"/>
    <w:rsid w:val="001E7A77"/>
    <w:rsid w:val="001F4DC7"/>
    <w:rsid w:val="001F65DC"/>
    <w:rsid w:val="00202434"/>
    <w:rsid w:val="0020266D"/>
    <w:rsid w:val="00204247"/>
    <w:rsid w:val="00211F70"/>
    <w:rsid w:val="0021500E"/>
    <w:rsid w:val="00222421"/>
    <w:rsid w:val="00227C55"/>
    <w:rsid w:val="00236ECE"/>
    <w:rsid w:val="00247599"/>
    <w:rsid w:val="00277C56"/>
    <w:rsid w:val="002859EE"/>
    <w:rsid w:val="0028607E"/>
    <w:rsid w:val="00286877"/>
    <w:rsid w:val="00290F06"/>
    <w:rsid w:val="002970E0"/>
    <w:rsid w:val="002A59DE"/>
    <w:rsid w:val="002A69F1"/>
    <w:rsid w:val="002A7B40"/>
    <w:rsid w:val="002B11AB"/>
    <w:rsid w:val="002B2A4A"/>
    <w:rsid w:val="002B2E71"/>
    <w:rsid w:val="002B37D0"/>
    <w:rsid w:val="002B403E"/>
    <w:rsid w:val="002B4EDD"/>
    <w:rsid w:val="002C498B"/>
    <w:rsid w:val="002D0DA2"/>
    <w:rsid w:val="002D127A"/>
    <w:rsid w:val="002D41FD"/>
    <w:rsid w:val="002D5E06"/>
    <w:rsid w:val="002D68A9"/>
    <w:rsid w:val="002D6BC9"/>
    <w:rsid w:val="002E26C4"/>
    <w:rsid w:val="002E3390"/>
    <w:rsid w:val="002E3C5C"/>
    <w:rsid w:val="002F328F"/>
    <w:rsid w:val="002F757E"/>
    <w:rsid w:val="002F7D40"/>
    <w:rsid w:val="00301B90"/>
    <w:rsid w:val="003071DA"/>
    <w:rsid w:val="00321E1A"/>
    <w:rsid w:val="0032436F"/>
    <w:rsid w:val="00325AE2"/>
    <w:rsid w:val="00332A91"/>
    <w:rsid w:val="003340FA"/>
    <w:rsid w:val="00334553"/>
    <w:rsid w:val="00334889"/>
    <w:rsid w:val="00337543"/>
    <w:rsid w:val="00345637"/>
    <w:rsid w:val="003479D6"/>
    <w:rsid w:val="00353386"/>
    <w:rsid w:val="00365BC7"/>
    <w:rsid w:val="00372283"/>
    <w:rsid w:val="00373330"/>
    <w:rsid w:val="00397E7D"/>
    <w:rsid w:val="003A440E"/>
    <w:rsid w:val="003A5BEC"/>
    <w:rsid w:val="003A6F02"/>
    <w:rsid w:val="003B2DE3"/>
    <w:rsid w:val="003B5DDA"/>
    <w:rsid w:val="003B603B"/>
    <w:rsid w:val="003B7CE0"/>
    <w:rsid w:val="003C3879"/>
    <w:rsid w:val="003C743B"/>
    <w:rsid w:val="003E43E4"/>
    <w:rsid w:val="003E6014"/>
    <w:rsid w:val="003E6535"/>
    <w:rsid w:val="003F138E"/>
    <w:rsid w:val="004007CF"/>
    <w:rsid w:val="00401AE7"/>
    <w:rsid w:val="004132BA"/>
    <w:rsid w:val="00415168"/>
    <w:rsid w:val="00415E49"/>
    <w:rsid w:val="00417393"/>
    <w:rsid w:val="004237A6"/>
    <w:rsid w:val="00433FB4"/>
    <w:rsid w:val="0043795D"/>
    <w:rsid w:val="00440A86"/>
    <w:rsid w:val="00440F29"/>
    <w:rsid w:val="00447086"/>
    <w:rsid w:val="0044718C"/>
    <w:rsid w:val="00447F91"/>
    <w:rsid w:val="00450FB6"/>
    <w:rsid w:val="00455ADE"/>
    <w:rsid w:val="00460304"/>
    <w:rsid w:val="00461DF2"/>
    <w:rsid w:val="00464C76"/>
    <w:rsid w:val="004734C5"/>
    <w:rsid w:val="00473CAF"/>
    <w:rsid w:val="004747DF"/>
    <w:rsid w:val="00476784"/>
    <w:rsid w:val="004A50F8"/>
    <w:rsid w:val="004C1204"/>
    <w:rsid w:val="004C268A"/>
    <w:rsid w:val="004D1AF7"/>
    <w:rsid w:val="004D2D9F"/>
    <w:rsid w:val="004D2EE0"/>
    <w:rsid w:val="004E2864"/>
    <w:rsid w:val="004E79A7"/>
    <w:rsid w:val="004F0598"/>
    <w:rsid w:val="004F0BBE"/>
    <w:rsid w:val="004F2BBB"/>
    <w:rsid w:val="00500839"/>
    <w:rsid w:val="00501718"/>
    <w:rsid w:val="00502221"/>
    <w:rsid w:val="00510158"/>
    <w:rsid w:val="0051319C"/>
    <w:rsid w:val="005160D1"/>
    <w:rsid w:val="00522E19"/>
    <w:rsid w:val="005256BF"/>
    <w:rsid w:val="00525815"/>
    <w:rsid w:val="0054197A"/>
    <w:rsid w:val="00543BCE"/>
    <w:rsid w:val="005512A6"/>
    <w:rsid w:val="00551C57"/>
    <w:rsid w:val="0056110F"/>
    <w:rsid w:val="0056601C"/>
    <w:rsid w:val="0057014A"/>
    <w:rsid w:val="0057308C"/>
    <w:rsid w:val="0057563B"/>
    <w:rsid w:val="00584469"/>
    <w:rsid w:val="0059458D"/>
    <w:rsid w:val="005B2E1D"/>
    <w:rsid w:val="005D77E2"/>
    <w:rsid w:val="005E0AEB"/>
    <w:rsid w:val="005F4C15"/>
    <w:rsid w:val="005F4FA4"/>
    <w:rsid w:val="005F6311"/>
    <w:rsid w:val="00600784"/>
    <w:rsid w:val="00603391"/>
    <w:rsid w:val="0060608F"/>
    <w:rsid w:val="00606AF7"/>
    <w:rsid w:val="0060758C"/>
    <w:rsid w:val="00611E55"/>
    <w:rsid w:val="006136A5"/>
    <w:rsid w:val="00624C3E"/>
    <w:rsid w:val="00627746"/>
    <w:rsid w:val="0063135B"/>
    <w:rsid w:val="00634B8B"/>
    <w:rsid w:val="006427A9"/>
    <w:rsid w:val="00644BD0"/>
    <w:rsid w:val="00644E10"/>
    <w:rsid w:val="00652530"/>
    <w:rsid w:val="006638EF"/>
    <w:rsid w:val="0067527B"/>
    <w:rsid w:val="006765F5"/>
    <w:rsid w:val="006771E1"/>
    <w:rsid w:val="00686261"/>
    <w:rsid w:val="006965A7"/>
    <w:rsid w:val="006A0EFB"/>
    <w:rsid w:val="006A417A"/>
    <w:rsid w:val="006B371C"/>
    <w:rsid w:val="006B5341"/>
    <w:rsid w:val="006C2302"/>
    <w:rsid w:val="006C6114"/>
    <w:rsid w:val="006D5B0E"/>
    <w:rsid w:val="006D6756"/>
    <w:rsid w:val="006E0B7D"/>
    <w:rsid w:val="006E3C4F"/>
    <w:rsid w:val="006E4EAA"/>
    <w:rsid w:val="006E6F3A"/>
    <w:rsid w:val="006F6DA0"/>
    <w:rsid w:val="00700480"/>
    <w:rsid w:val="007025A5"/>
    <w:rsid w:val="00702EF9"/>
    <w:rsid w:val="00705FD1"/>
    <w:rsid w:val="00707467"/>
    <w:rsid w:val="00711975"/>
    <w:rsid w:val="00711EDA"/>
    <w:rsid w:val="00713130"/>
    <w:rsid w:val="00714DE3"/>
    <w:rsid w:val="00714E33"/>
    <w:rsid w:val="00724399"/>
    <w:rsid w:val="00726101"/>
    <w:rsid w:val="00727F74"/>
    <w:rsid w:val="00731B97"/>
    <w:rsid w:val="007338B2"/>
    <w:rsid w:val="00747902"/>
    <w:rsid w:val="007547EE"/>
    <w:rsid w:val="00766B89"/>
    <w:rsid w:val="00770566"/>
    <w:rsid w:val="00782478"/>
    <w:rsid w:val="00787CF2"/>
    <w:rsid w:val="00790122"/>
    <w:rsid w:val="007907D8"/>
    <w:rsid w:val="0079462E"/>
    <w:rsid w:val="00795CCE"/>
    <w:rsid w:val="007A0782"/>
    <w:rsid w:val="007A6714"/>
    <w:rsid w:val="007A7A3D"/>
    <w:rsid w:val="007B259C"/>
    <w:rsid w:val="007C1BCA"/>
    <w:rsid w:val="007C6F2E"/>
    <w:rsid w:val="007C7D8E"/>
    <w:rsid w:val="007D6127"/>
    <w:rsid w:val="007E0C8D"/>
    <w:rsid w:val="007E7115"/>
    <w:rsid w:val="007F236E"/>
    <w:rsid w:val="007F436E"/>
    <w:rsid w:val="007F47A9"/>
    <w:rsid w:val="00807ABE"/>
    <w:rsid w:val="00815677"/>
    <w:rsid w:val="008217E7"/>
    <w:rsid w:val="00827E31"/>
    <w:rsid w:val="008445D5"/>
    <w:rsid w:val="00857D32"/>
    <w:rsid w:val="00866501"/>
    <w:rsid w:val="008667A8"/>
    <w:rsid w:val="00877207"/>
    <w:rsid w:val="00880A19"/>
    <w:rsid w:val="0088789B"/>
    <w:rsid w:val="0089153D"/>
    <w:rsid w:val="0089727F"/>
    <w:rsid w:val="008B0791"/>
    <w:rsid w:val="008B2CF9"/>
    <w:rsid w:val="008B44B9"/>
    <w:rsid w:val="008C2B5A"/>
    <w:rsid w:val="008C39FD"/>
    <w:rsid w:val="008D1A3A"/>
    <w:rsid w:val="008D1BEA"/>
    <w:rsid w:val="008D2631"/>
    <w:rsid w:val="008D5066"/>
    <w:rsid w:val="008E6935"/>
    <w:rsid w:val="008F1719"/>
    <w:rsid w:val="008F6FD9"/>
    <w:rsid w:val="00900918"/>
    <w:rsid w:val="00904C37"/>
    <w:rsid w:val="00905B87"/>
    <w:rsid w:val="00910AD9"/>
    <w:rsid w:val="00912EEE"/>
    <w:rsid w:val="0092108B"/>
    <w:rsid w:val="009250A9"/>
    <w:rsid w:val="00930BE4"/>
    <w:rsid w:val="0094300A"/>
    <w:rsid w:val="00947992"/>
    <w:rsid w:val="009503DB"/>
    <w:rsid w:val="00954C33"/>
    <w:rsid w:val="009579DA"/>
    <w:rsid w:val="0096282E"/>
    <w:rsid w:val="00962ADB"/>
    <w:rsid w:val="00977B92"/>
    <w:rsid w:val="00983729"/>
    <w:rsid w:val="009863F4"/>
    <w:rsid w:val="009A1A7D"/>
    <w:rsid w:val="009A2AFB"/>
    <w:rsid w:val="009A4A5D"/>
    <w:rsid w:val="009B2386"/>
    <w:rsid w:val="009B3523"/>
    <w:rsid w:val="009C72D9"/>
    <w:rsid w:val="009D233E"/>
    <w:rsid w:val="009D796C"/>
    <w:rsid w:val="009E2967"/>
    <w:rsid w:val="009F1EE4"/>
    <w:rsid w:val="009F7044"/>
    <w:rsid w:val="00A01449"/>
    <w:rsid w:val="00A33F74"/>
    <w:rsid w:val="00A36078"/>
    <w:rsid w:val="00A45158"/>
    <w:rsid w:val="00A45C27"/>
    <w:rsid w:val="00A47446"/>
    <w:rsid w:val="00A55201"/>
    <w:rsid w:val="00A636B8"/>
    <w:rsid w:val="00A72558"/>
    <w:rsid w:val="00A769DF"/>
    <w:rsid w:val="00A80630"/>
    <w:rsid w:val="00A852FE"/>
    <w:rsid w:val="00A86348"/>
    <w:rsid w:val="00A8707F"/>
    <w:rsid w:val="00A943CA"/>
    <w:rsid w:val="00A94B91"/>
    <w:rsid w:val="00AD270B"/>
    <w:rsid w:val="00AD48E9"/>
    <w:rsid w:val="00AD5319"/>
    <w:rsid w:val="00AD588D"/>
    <w:rsid w:val="00AD6E97"/>
    <w:rsid w:val="00AF073E"/>
    <w:rsid w:val="00AF1F2D"/>
    <w:rsid w:val="00AF7B64"/>
    <w:rsid w:val="00B015AD"/>
    <w:rsid w:val="00B144E8"/>
    <w:rsid w:val="00B20612"/>
    <w:rsid w:val="00B21C9D"/>
    <w:rsid w:val="00B25186"/>
    <w:rsid w:val="00B4159E"/>
    <w:rsid w:val="00B446DF"/>
    <w:rsid w:val="00B64AAE"/>
    <w:rsid w:val="00B65E4F"/>
    <w:rsid w:val="00B73D82"/>
    <w:rsid w:val="00B762F0"/>
    <w:rsid w:val="00B811A1"/>
    <w:rsid w:val="00B81523"/>
    <w:rsid w:val="00B8592C"/>
    <w:rsid w:val="00B85F9E"/>
    <w:rsid w:val="00B910EC"/>
    <w:rsid w:val="00B92F65"/>
    <w:rsid w:val="00B93BA7"/>
    <w:rsid w:val="00B9708E"/>
    <w:rsid w:val="00BB124D"/>
    <w:rsid w:val="00BB2B05"/>
    <w:rsid w:val="00BB2B3E"/>
    <w:rsid w:val="00BB4125"/>
    <w:rsid w:val="00BB4FFE"/>
    <w:rsid w:val="00BB725E"/>
    <w:rsid w:val="00BB735B"/>
    <w:rsid w:val="00BC741F"/>
    <w:rsid w:val="00BD0039"/>
    <w:rsid w:val="00BD09EB"/>
    <w:rsid w:val="00BD14F8"/>
    <w:rsid w:val="00BD51BE"/>
    <w:rsid w:val="00BE6E98"/>
    <w:rsid w:val="00BF23F7"/>
    <w:rsid w:val="00BF3AAC"/>
    <w:rsid w:val="00BF521E"/>
    <w:rsid w:val="00BF6FA5"/>
    <w:rsid w:val="00C01553"/>
    <w:rsid w:val="00C01FBF"/>
    <w:rsid w:val="00C14937"/>
    <w:rsid w:val="00C21C5A"/>
    <w:rsid w:val="00C269BF"/>
    <w:rsid w:val="00C30011"/>
    <w:rsid w:val="00C347FE"/>
    <w:rsid w:val="00C37DD4"/>
    <w:rsid w:val="00C5353B"/>
    <w:rsid w:val="00C555B6"/>
    <w:rsid w:val="00C61B72"/>
    <w:rsid w:val="00C61D6D"/>
    <w:rsid w:val="00C63AE8"/>
    <w:rsid w:val="00C65A53"/>
    <w:rsid w:val="00C72D3E"/>
    <w:rsid w:val="00C755DE"/>
    <w:rsid w:val="00C864FF"/>
    <w:rsid w:val="00C8658E"/>
    <w:rsid w:val="00C872A0"/>
    <w:rsid w:val="00C90D46"/>
    <w:rsid w:val="00CA08DF"/>
    <w:rsid w:val="00CB00F3"/>
    <w:rsid w:val="00CB208E"/>
    <w:rsid w:val="00CC19F0"/>
    <w:rsid w:val="00CC3F3A"/>
    <w:rsid w:val="00CC62CC"/>
    <w:rsid w:val="00CD72B5"/>
    <w:rsid w:val="00CE1A27"/>
    <w:rsid w:val="00CE2562"/>
    <w:rsid w:val="00CE2FA9"/>
    <w:rsid w:val="00CE4378"/>
    <w:rsid w:val="00CE4ABB"/>
    <w:rsid w:val="00D050DF"/>
    <w:rsid w:val="00D128F6"/>
    <w:rsid w:val="00D1714F"/>
    <w:rsid w:val="00D24223"/>
    <w:rsid w:val="00D247AB"/>
    <w:rsid w:val="00D24D5B"/>
    <w:rsid w:val="00D34412"/>
    <w:rsid w:val="00D3694E"/>
    <w:rsid w:val="00D377C3"/>
    <w:rsid w:val="00D377FF"/>
    <w:rsid w:val="00D432DB"/>
    <w:rsid w:val="00D4450D"/>
    <w:rsid w:val="00D456F2"/>
    <w:rsid w:val="00D52498"/>
    <w:rsid w:val="00D56714"/>
    <w:rsid w:val="00D66A44"/>
    <w:rsid w:val="00D708EA"/>
    <w:rsid w:val="00D723AA"/>
    <w:rsid w:val="00D7282F"/>
    <w:rsid w:val="00D73EBD"/>
    <w:rsid w:val="00D75289"/>
    <w:rsid w:val="00D829C1"/>
    <w:rsid w:val="00D84233"/>
    <w:rsid w:val="00D85AD1"/>
    <w:rsid w:val="00D86A9D"/>
    <w:rsid w:val="00DA442F"/>
    <w:rsid w:val="00DA4F6C"/>
    <w:rsid w:val="00DB20AE"/>
    <w:rsid w:val="00DB4C81"/>
    <w:rsid w:val="00DC1FAA"/>
    <w:rsid w:val="00DC27A0"/>
    <w:rsid w:val="00DD76FD"/>
    <w:rsid w:val="00DD7A57"/>
    <w:rsid w:val="00DE11AB"/>
    <w:rsid w:val="00DE26F8"/>
    <w:rsid w:val="00DF3B09"/>
    <w:rsid w:val="00DF4E0C"/>
    <w:rsid w:val="00E030D4"/>
    <w:rsid w:val="00E049F3"/>
    <w:rsid w:val="00E05C4F"/>
    <w:rsid w:val="00E0610F"/>
    <w:rsid w:val="00E135DC"/>
    <w:rsid w:val="00E13CC2"/>
    <w:rsid w:val="00E24B31"/>
    <w:rsid w:val="00E25111"/>
    <w:rsid w:val="00E3535E"/>
    <w:rsid w:val="00E4237F"/>
    <w:rsid w:val="00E55CC1"/>
    <w:rsid w:val="00E732A8"/>
    <w:rsid w:val="00E830B4"/>
    <w:rsid w:val="00E86590"/>
    <w:rsid w:val="00E91956"/>
    <w:rsid w:val="00E935F7"/>
    <w:rsid w:val="00E93C5E"/>
    <w:rsid w:val="00EA7CF3"/>
    <w:rsid w:val="00EB4702"/>
    <w:rsid w:val="00EB65AC"/>
    <w:rsid w:val="00EB6CA2"/>
    <w:rsid w:val="00EE2427"/>
    <w:rsid w:val="00EE49F8"/>
    <w:rsid w:val="00EE730C"/>
    <w:rsid w:val="00EF3563"/>
    <w:rsid w:val="00EF4DB8"/>
    <w:rsid w:val="00EF4E79"/>
    <w:rsid w:val="00F018CF"/>
    <w:rsid w:val="00F02218"/>
    <w:rsid w:val="00F02F17"/>
    <w:rsid w:val="00F03820"/>
    <w:rsid w:val="00F13592"/>
    <w:rsid w:val="00F17D27"/>
    <w:rsid w:val="00F20A74"/>
    <w:rsid w:val="00F220C5"/>
    <w:rsid w:val="00F22154"/>
    <w:rsid w:val="00F25EF9"/>
    <w:rsid w:val="00F36B3F"/>
    <w:rsid w:val="00F41307"/>
    <w:rsid w:val="00F41BA5"/>
    <w:rsid w:val="00F41D2F"/>
    <w:rsid w:val="00F43AA5"/>
    <w:rsid w:val="00F44E4F"/>
    <w:rsid w:val="00F50A22"/>
    <w:rsid w:val="00F50DAC"/>
    <w:rsid w:val="00F61987"/>
    <w:rsid w:val="00F66723"/>
    <w:rsid w:val="00F70D67"/>
    <w:rsid w:val="00F71F35"/>
    <w:rsid w:val="00F73672"/>
    <w:rsid w:val="00F850DB"/>
    <w:rsid w:val="00FA3269"/>
    <w:rsid w:val="00FA33B4"/>
    <w:rsid w:val="00FC1015"/>
    <w:rsid w:val="00FD1A4B"/>
    <w:rsid w:val="00FD2E82"/>
    <w:rsid w:val="00FD5A52"/>
    <w:rsid w:val="00FD786A"/>
    <w:rsid w:val="00FE3EFE"/>
    <w:rsid w:val="00FF64ED"/>
    <w:rsid w:val="011A0248"/>
    <w:rsid w:val="014C5DC7"/>
    <w:rsid w:val="01B87A2D"/>
    <w:rsid w:val="027440E2"/>
    <w:rsid w:val="02AF4898"/>
    <w:rsid w:val="03DE58E1"/>
    <w:rsid w:val="03E20DAA"/>
    <w:rsid w:val="04081F03"/>
    <w:rsid w:val="04EB6588"/>
    <w:rsid w:val="05312C42"/>
    <w:rsid w:val="05540CFC"/>
    <w:rsid w:val="05864666"/>
    <w:rsid w:val="05E4641F"/>
    <w:rsid w:val="06715BBD"/>
    <w:rsid w:val="0749768F"/>
    <w:rsid w:val="0775515C"/>
    <w:rsid w:val="08080941"/>
    <w:rsid w:val="089C0163"/>
    <w:rsid w:val="08A21CEE"/>
    <w:rsid w:val="0B810D57"/>
    <w:rsid w:val="0BB00A45"/>
    <w:rsid w:val="0BDE0664"/>
    <w:rsid w:val="0C0A6C97"/>
    <w:rsid w:val="0C91494C"/>
    <w:rsid w:val="0C9C6A33"/>
    <w:rsid w:val="0D112903"/>
    <w:rsid w:val="0D304C9F"/>
    <w:rsid w:val="0DEC180D"/>
    <w:rsid w:val="0E3F1FE4"/>
    <w:rsid w:val="0EEC6208"/>
    <w:rsid w:val="0EF359F7"/>
    <w:rsid w:val="0F62681B"/>
    <w:rsid w:val="0FE338EB"/>
    <w:rsid w:val="104026CB"/>
    <w:rsid w:val="10501A8E"/>
    <w:rsid w:val="106F4965"/>
    <w:rsid w:val="10851950"/>
    <w:rsid w:val="10C5497E"/>
    <w:rsid w:val="1125442C"/>
    <w:rsid w:val="120D02C6"/>
    <w:rsid w:val="12910C81"/>
    <w:rsid w:val="12B25993"/>
    <w:rsid w:val="13B05F65"/>
    <w:rsid w:val="140E6439"/>
    <w:rsid w:val="144D72D6"/>
    <w:rsid w:val="149F23BF"/>
    <w:rsid w:val="14B43C2B"/>
    <w:rsid w:val="15594D97"/>
    <w:rsid w:val="1626171D"/>
    <w:rsid w:val="16513402"/>
    <w:rsid w:val="166455C0"/>
    <w:rsid w:val="18637DB0"/>
    <w:rsid w:val="18786010"/>
    <w:rsid w:val="18C05266"/>
    <w:rsid w:val="19BB51FD"/>
    <w:rsid w:val="19C4143E"/>
    <w:rsid w:val="1A204BEF"/>
    <w:rsid w:val="1A28046C"/>
    <w:rsid w:val="1A424B3D"/>
    <w:rsid w:val="1A6C269A"/>
    <w:rsid w:val="1AEB59F6"/>
    <w:rsid w:val="1B00117D"/>
    <w:rsid w:val="1B267F02"/>
    <w:rsid w:val="1CC32E30"/>
    <w:rsid w:val="1CD23428"/>
    <w:rsid w:val="1D824293"/>
    <w:rsid w:val="1DDC6D79"/>
    <w:rsid w:val="1E7D0B6A"/>
    <w:rsid w:val="1E8A066E"/>
    <w:rsid w:val="1F0B786F"/>
    <w:rsid w:val="1F4F39D6"/>
    <w:rsid w:val="1FB02A41"/>
    <w:rsid w:val="1FC12764"/>
    <w:rsid w:val="201C0049"/>
    <w:rsid w:val="20B05F5A"/>
    <w:rsid w:val="20D71AED"/>
    <w:rsid w:val="21326C25"/>
    <w:rsid w:val="21AB7143"/>
    <w:rsid w:val="21FE40C0"/>
    <w:rsid w:val="2228635C"/>
    <w:rsid w:val="227603D7"/>
    <w:rsid w:val="232273E4"/>
    <w:rsid w:val="23587061"/>
    <w:rsid w:val="23C55219"/>
    <w:rsid w:val="245E78DC"/>
    <w:rsid w:val="24DA5303"/>
    <w:rsid w:val="258864A1"/>
    <w:rsid w:val="2681079B"/>
    <w:rsid w:val="2689320D"/>
    <w:rsid w:val="26920BFA"/>
    <w:rsid w:val="26924756"/>
    <w:rsid w:val="27410F12"/>
    <w:rsid w:val="279C47AF"/>
    <w:rsid w:val="289665AC"/>
    <w:rsid w:val="28C71679"/>
    <w:rsid w:val="28D659AA"/>
    <w:rsid w:val="295450D5"/>
    <w:rsid w:val="29F2631D"/>
    <w:rsid w:val="2A271721"/>
    <w:rsid w:val="2A8F2CB5"/>
    <w:rsid w:val="2AAB11B0"/>
    <w:rsid w:val="2ADA4994"/>
    <w:rsid w:val="2AF9297F"/>
    <w:rsid w:val="2B5914C2"/>
    <w:rsid w:val="2C56194B"/>
    <w:rsid w:val="2D27078C"/>
    <w:rsid w:val="2D6E7672"/>
    <w:rsid w:val="2EAB4607"/>
    <w:rsid w:val="2F7E73F6"/>
    <w:rsid w:val="2FEE3B50"/>
    <w:rsid w:val="30967103"/>
    <w:rsid w:val="30BF4AA8"/>
    <w:rsid w:val="30C7444A"/>
    <w:rsid w:val="316D2120"/>
    <w:rsid w:val="32632E67"/>
    <w:rsid w:val="326A47A7"/>
    <w:rsid w:val="327E3A72"/>
    <w:rsid w:val="32CB1807"/>
    <w:rsid w:val="32EE4DB6"/>
    <w:rsid w:val="33054013"/>
    <w:rsid w:val="33EB1B4E"/>
    <w:rsid w:val="340359FF"/>
    <w:rsid w:val="34117602"/>
    <w:rsid w:val="34735FB4"/>
    <w:rsid w:val="347D2E57"/>
    <w:rsid w:val="34D36BCC"/>
    <w:rsid w:val="35490A53"/>
    <w:rsid w:val="363F7BC1"/>
    <w:rsid w:val="365E5C75"/>
    <w:rsid w:val="377A19EC"/>
    <w:rsid w:val="37870597"/>
    <w:rsid w:val="37BD57F8"/>
    <w:rsid w:val="37DF166D"/>
    <w:rsid w:val="385756B1"/>
    <w:rsid w:val="392F2768"/>
    <w:rsid w:val="397004AE"/>
    <w:rsid w:val="39960DDF"/>
    <w:rsid w:val="39B02543"/>
    <w:rsid w:val="39EB73DA"/>
    <w:rsid w:val="3A1E2E63"/>
    <w:rsid w:val="3C06419F"/>
    <w:rsid w:val="3C1F5CF0"/>
    <w:rsid w:val="3EC16C2C"/>
    <w:rsid w:val="410A311F"/>
    <w:rsid w:val="42407E5C"/>
    <w:rsid w:val="42612D10"/>
    <w:rsid w:val="42C47A45"/>
    <w:rsid w:val="43B117AB"/>
    <w:rsid w:val="43C05E2C"/>
    <w:rsid w:val="43F94A08"/>
    <w:rsid w:val="44427C28"/>
    <w:rsid w:val="46102307"/>
    <w:rsid w:val="46321D91"/>
    <w:rsid w:val="466C22CD"/>
    <w:rsid w:val="47254B8B"/>
    <w:rsid w:val="474C1A27"/>
    <w:rsid w:val="489D70BE"/>
    <w:rsid w:val="48E2671D"/>
    <w:rsid w:val="496C6BA3"/>
    <w:rsid w:val="49990570"/>
    <w:rsid w:val="4A814CE0"/>
    <w:rsid w:val="4ABA06E6"/>
    <w:rsid w:val="4AF21D48"/>
    <w:rsid w:val="4B6B7F01"/>
    <w:rsid w:val="4BA564D3"/>
    <w:rsid w:val="4BEF3680"/>
    <w:rsid w:val="4BFE2B2A"/>
    <w:rsid w:val="4C13074F"/>
    <w:rsid w:val="4CC0161A"/>
    <w:rsid w:val="4CE71AF0"/>
    <w:rsid w:val="4D6945D0"/>
    <w:rsid w:val="4D7F7DC3"/>
    <w:rsid w:val="4D8802C7"/>
    <w:rsid w:val="4E064011"/>
    <w:rsid w:val="4E090954"/>
    <w:rsid w:val="4E651110"/>
    <w:rsid w:val="4E911C63"/>
    <w:rsid w:val="4F4C0BC6"/>
    <w:rsid w:val="505A4E4D"/>
    <w:rsid w:val="507B68D9"/>
    <w:rsid w:val="508D5E0B"/>
    <w:rsid w:val="51637015"/>
    <w:rsid w:val="51726B61"/>
    <w:rsid w:val="525F0A27"/>
    <w:rsid w:val="52CC1075"/>
    <w:rsid w:val="52E41C8A"/>
    <w:rsid w:val="536835E1"/>
    <w:rsid w:val="54837F2C"/>
    <w:rsid w:val="54B46794"/>
    <w:rsid w:val="55EC78A1"/>
    <w:rsid w:val="564D7A6D"/>
    <w:rsid w:val="565A77C3"/>
    <w:rsid w:val="570D55B0"/>
    <w:rsid w:val="57360B9E"/>
    <w:rsid w:val="57392604"/>
    <w:rsid w:val="58DB105E"/>
    <w:rsid w:val="593F729C"/>
    <w:rsid w:val="5A987888"/>
    <w:rsid w:val="5AC010AA"/>
    <w:rsid w:val="5BAC182C"/>
    <w:rsid w:val="5BE430D6"/>
    <w:rsid w:val="5C2B702B"/>
    <w:rsid w:val="5C452D7C"/>
    <w:rsid w:val="5C6919CF"/>
    <w:rsid w:val="5D8D6699"/>
    <w:rsid w:val="5E78660D"/>
    <w:rsid w:val="5F8334BF"/>
    <w:rsid w:val="5FB52DBE"/>
    <w:rsid w:val="60947746"/>
    <w:rsid w:val="60AF35A4"/>
    <w:rsid w:val="60BA452E"/>
    <w:rsid w:val="60C77CA3"/>
    <w:rsid w:val="616C2999"/>
    <w:rsid w:val="61784CAC"/>
    <w:rsid w:val="61A305A5"/>
    <w:rsid w:val="61BB51E9"/>
    <w:rsid w:val="61FC5866"/>
    <w:rsid w:val="63732BE5"/>
    <w:rsid w:val="63D61B07"/>
    <w:rsid w:val="63F02AC5"/>
    <w:rsid w:val="64562437"/>
    <w:rsid w:val="645B2050"/>
    <w:rsid w:val="64F0273D"/>
    <w:rsid w:val="65DE13D2"/>
    <w:rsid w:val="667765CD"/>
    <w:rsid w:val="66AF3295"/>
    <w:rsid w:val="67522DF3"/>
    <w:rsid w:val="67684AA4"/>
    <w:rsid w:val="67C06243"/>
    <w:rsid w:val="68882357"/>
    <w:rsid w:val="689B4CF5"/>
    <w:rsid w:val="69FA6A8E"/>
    <w:rsid w:val="6B5A70BC"/>
    <w:rsid w:val="6C1C45A1"/>
    <w:rsid w:val="6E36008F"/>
    <w:rsid w:val="6E54705B"/>
    <w:rsid w:val="6E5B0E42"/>
    <w:rsid w:val="6E7937E9"/>
    <w:rsid w:val="6F271174"/>
    <w:rsid w:val="6F410470"/>
    <w:rsid w:val="6F934EA2"/>
    <w:rsid w:val="6FF20503"/>
    <w:rsid w:val="6FFF03DF"/>
    <w:rsid w:val="719C0E87"/>
    <w:rsid w:val="72905485"/>
    <w:rsid w:val="73770529"/>
    <w:rsid w:val="739F5521"/>
    <w:rsid w:val="73E17ADF"/>
    <w:rsid w:val="73FD371A"/>
    <w:rsid w:val="74282AD3"/>
    <w:rsid w:val="747F4DA5"/>
    <w:rsid w:val="754A5A04"/>
    <w:rsid w:val="76A220F0"/>
    <w:rsid w:val="777723C0"/>
    <w:rsid w:val="77D51F88"/>
    <w:rsid w:val="78D9175B"/>
    <w:rsid w:val="79125CC4"/>
    <w:rsid w:val="79DD7EA0"/>
    <w:rsid w:val="7A141AFC"/>
    <w:rsid w:val="7B926AF3"/>
    <w:rsid w:val="7BA74299"/>
    <w:rsid w:val="7C342DA9"/>
    <w:rsid w:val="7C86003F"/>
    <w:rsid w:val="7CD1109C"/>
    <w:rsid w:val="7D277BB7"/>
    <w:rsid w:val="7D625DA6"/>
    <w:rsid w:val="7DD3008C"/>
    <w:rsid w:val="7E9D71B8"/>
    <w:rsid w:val="7ED20DDC"/>
    <w:rsid w:val="7F8813C8"/>
    <w:rsid w:val="7F980AD7"/>
    <w:rsid w:val="7FA40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7"/>
    <w:qFormat/>
    <w:uiPriority w:val="0"/>
    <w:pPr>
      <w:keepNext/>
      <w:keepLines/>
      <w:spacing w:line="578" w:lineRule="auto"/>
      <w:jc w:val="center"/>
      <w:outlineLvl w:val="0"/>
    </w:pPr>
    <w:rPr>
      <w:b/>
      <w:bCs/>
      <w:kern w:val="44"/>
      <w:sz w:val="28"/>
      <w:szCs w:val="44"/>
    </w:rPr>
  </w:style>
  <w:style w:type="paragraph" w:styleId="6">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6"/>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paragraph" w:styleId="9">
    <w:name w:val="heading 7"/>
    <w:basedOn w:val="1"/>
    <w:next w:val="1"/>
    <w:link w:val="61"/>
    <w:qFormat/>
    <w:uiPriority w:val="0"/>
    <w:pPr>
      <w:keepNext/>
      <w:keepLines/>
      <w:spacing w:before="240" w:after="64" w:line="320" w:lineRule="auto"/>
      <w:outlineLvl w:val="6"/>
    </w:pPr>
    <w:rPr>
      <w:b/>
      <w:bCs/>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line="360" w:lineRule="exact"/>
    </w:pPr>
    <w:rPr>
      <w:sz w:val="24"/>
    </w:rPr>
  </w:style>
  <w:style w:type="paragraph" w:styleId="3">
    <w:name w:val="Body Text First Indent"/>
    <w:basedOn w:val="2"/>
    <w:next w:val="4"/>
    <w:qFormat/>
    <w:uiPriority w:val="0"/>
    <w:pPr>
      <w:tabs>
        <w:tab w:val="left" w:pos="0"/>
      </w:tabs>
      <w:ind w:firstLine="420" w:firstLineChars="100"/>
    </w:pPr>
  </w:style>
  <w:style w:type="paragraph" w:styleId="4">
    <w:name w:val="toc 6"/>
    <w:basedOn w:val="1"/>
    <w:next w:val="1"/>
    <w:qFormat/>
    <w:uiPriority w:val="0"/>
    <w:pPr>
      <w:ind w:left="1050"/>
      <w:jc w:val="left"/>
    </w:pPr>
    <w:rPr>
      <w:sz w:val="18"/>
    </w:rPr>
  </w:style>
  <w:style w:type="paragraph" w:styleId="10">
    <w:name w:val="List Number"/>
    <w:basedOn w:val="1"/>
    <w:qFormat/>
    <w:uiPriority w:val="0"/>
    <w:pPr>
      <w:numPr>
        <w:ilvl w:val="0"/>
        <w:numId w:val="1"/>
      </w:numPr>
    </w:pPr>
  </w:style>
  <w:style w:type="paragraph" w:styleId="11">
    <w:name w:val="Normal Indent"/>
    <w:basedOn w:val="1"/>
    <w:next w:val="12"/>
    <w:link w:val="63"/>
    <w:qFormat/>
    <w:uiPriority w:val="0"/>
    <w:pPr>
      <w:ind w:firstLine="420"/>
    </w:pPr>
    <w:rPr>
      <w:szCs w:val="20"/>
    </w:rPr>
  </w:style>
  <w:style w:type="paragraph" w:styleId="12">
    <w:name w:val="Body Text Indent"/>
    <w:basedOn w:val="1"/>
    <w:next w:val="11"/>
    <w:link w:val="40"/>
    <w:qFormat/>
    <w:uiPriority w:val="0"/>
    <w:pPr>
      <w:spacing w:after="120"/>
      <w:ind w:left="420" w:leftChars="200"/>
    </w:pPr>
  </w:style>
  <w:style w:type="paragraph" w:styleId="13">
    <w:name w:val="annotation text"/>
    <w:basedOn w:val="1"/>
    <w:link w:val="37"/>
    <w:unhideWhenUsed/>
    <w:qFormat/>
    <w:uiPriority w:val="0"/>
    <w:pPr>
      <w:jc w:val="left"/>
    </w:pPr>
  </w:style>
  <w:style w:type="paragraph" w:styleId="14">
    <w:name w:val="Plain Text"/>
    <w:basedOn w:val="1"/>
    <w:next w:val="15"/>
    <w:link w:val="41"/>
    <w:qFormat/>
    <w:uiPriority w:val="99"/>
    <w:rPr>
      <w:rFonts w:ascii="宋体" w:hAnsi="Courier New" w:cstheme="minorBidi"/>
    </w:rPr>
  </w:style>
  <w:style w:type="paragraph" w:styleId="1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6">
    <w:name w:val="Date"/>
    <w:basedOn w:val="1"/>
    <w:next w:val="1"/>
    <w:link w:val="42"/>
    <w:qFormat/>
    <w:uiPriority w:val="0"/>
    <w:pPr>
      <w:ind w:left="2500" w:leftChars="2500"/>
    </w:pPr>
    <w:rPr>
      <w:rFonts w:eastAsia="楷体_GB2312" w:asciiTheme="minorHAnsi" w:hAnsiTheme="minorHAnsi" w:cstheme="minorBidi"/>
      <w:sz w:val="32"/>
      <w:szCs w:val="22"/>
    </w:rPr>
  </w:style>
  <w:style w:type="paragraph" w:styleId="17">
    <w:name w:val="Body Text Indent 2"/>
    <w:basedOn w:val="1"/>
    <w:next w:val="18"/>
    <w:qFormat/>
    <w:uiPriority w:val="0"/>
    <w:pPr>
      <w:spacing w:after="120" w:line="480" w:lineRule="auto"/>
      <w:ind w:left="420"/>
    </w:pPr>
  </w:style>
  <w:style w:type="paragraph" w:customStyle="1" w:styleId="18">
    <w:name w:val="目录 22"/>
    <w:next w:val="1"/>
    <w:qFormat/>
    <w:uiPriority w:val="0"/>
    <w:pPr>
      <w:wordWrap w:val="0"/>
      <w:jc w:val="both"/>
    </w:pPr>
    <w:rPr>
      <w:rFonts w:ascii="宋体" w:hAnsi="宋体" w:eastAsia="宋体" w:cs="宋体"/>
      <w:sz w:val="21"/>
      <w:lang w:val="en-US" w:eastAsia="zh-CN" w:bidi="ar-SA"/>
    </w:rPr>
  </w:style>
  <w:style w:type="paragraph" w:styleId="19">
    <w:name w:val="Balloon Text"/>
    <w:basedOn w:val="1"/>
    <w:link w:val="43"/>
    <w:qFormat/>
    <w:uiPriority w:val="0"/>
    <w:rPr>
      <w:sz w:val="18"/>
      <w:szCs w:val="18"/>
    </w:rPr>
  </w:style>
  <w:style w:type="paragraph" w:styleId="20">
    <w:name w:val="footer"/>
    <w:basedOn w:val="1"/>
    <w:link w:val="35"/>
    <w:unhideWhenUsed/>
    <w:qFormat/>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628"/>
      </w:tabs>
      <w:jc w:val="center"/>
    </w:pPr>
    <w:rPr>
      <w:b/>
      <w:sz w:val="52"/>
      <w:szCs w:val="52"/>
    </w:rPr>
  </w:style>
  <w:style w:type="paragraph" w:styleId="24">
    <w:name w:val="Body Text Indent 3"/>
    <w:basedOn w:val="1"/>
    <w:next w:val="25"/>
    <w:qFormat/>
    <w:uiPriority w:val="0"/>
    <w:pPr>
      <w:spacing w:after="120"/>
      <w:ind w:left="420"/>
    </w:pPr>
    <w:rPr>
      <w:sz w:val="16"/>
    </w:rPr>
  </w:style>
  <w:style w:type="paragraph" w:customStyle="1" w:styleId="25">
    <w:name w:val="目录 92"/>
    <w:next w:val="1"/>
    <w:qFormat/>
    <w:uiPriority w:val="0"/>
    <w:pPr>
      <w:wordWrap w:val="0"/>
      <w:ind w:left="2975"/>
      <w:jc w:val="both"/>
    </w:pPr>
    <w:rPr>
      <w:rFonts w:ascii="宋体" w:hAnsi="宋体" w:eastAsia="宋体" w:cs="宋体"/>
      <w:sz w:val="21"/>
      <w:lang w:val="en-US" w:eastAsia="zh-CN" w:bidi="ar-SA"/>
    </w:rPr>
  </w:style>
  <w:style w:type="paragraph" w:styleId="2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7">
    <w:name w:val="annotation subject"/>
    <w:basedOn w:val="13"/>
    <w:next w:val="13"/>
    <w:link w:val="38"/>
    <w:qFormat/>
    <w:uiPriority w:val="0"/>
    <w:rPr>
      <w:b/>
      <w:bCs/>
    </w:rPr>
  </w:style>
  <w:style w:type="paragraph" w:styleId="28">
    <w:name w:val="Body Text First Indent 2"/>
    <w:basedOn w:val="12"/>
    <w:next w:val="1"/>
    <w:qFormat/>
    <w:uiPriority w:val="0"/>
    <w:pPr>
      <w:adjustRightInd w:val="0"/>
      <w:spacing w:after="0"/>
      <w:ind w:firstLine="420" w:firstLineChars="200"/>
    </w:pPr>
    <w:rPr>
      <w:rFonts w:hint="eastAsia" w:hAnsi="宋体"/>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annotation reference"/>
    <w:basedOn w:val="31"/>
    <w:qFormat/>
    <w:uiPriority w:val="0"/>
    <w:rPr>
      <w:sz w:val="21"/>
      <w:szCs w:val="21"/>
    </w:rPr>
  </w:style>
  <w:style w:type="character" w:customStyle="1" w:styleId="34">
    <w:name w:val="页眉 Char"/>
    <w:basedOn w:val="31"/>
    <w:link w:val="22"/>
    <w:semiHidden/>
    <w:qFormat/>
    <w:uiPriority w:val="99"/>
    <w:rPr>
      <w:sz w:val="18"/>
      <w:szCs w:val="18"/>
    </w:rPr>
  </w:style>
  <w:style w:type="character" w:customStyle="1" w:styleId="35">
    <w:name w:val="页脚 Char"/>
    <w:basedOn w:val="31"/>
    <w:link w:val="20"/>
    <w:semiHidden/>
    <w:qFormat/>
    <w:uiPriority w:val="99"/>
    <w:rPr>
      <w:sz w:val="18"/>
      <w:szCs w:val="18"/>
    </w:rPr>
  </w:style>
  <w:style w:type="character" w:customStyle="1" w:styleId="36">
    <w:name w:val="标题 3 Char"/>
    <w:basedOn w:val="31"/>
    <w:link w:val="7"/>
    <w:semiHidden/>
    <w:qFormat/>
    <w:uiPriority w:val="0"/>
    <w:rPr>
      <w:rFonts w:ascii="Times New Roman" w:hAnsi="Times New Roman" w:eastAsia="宋体" w:cs="Times New Roman"/>
      <w:b/>
      <w:bCs/>
      <w:sz w:val="32"/>
      <w:szCs w:val="32"/>
    </w:rPr>
  </w:style>
  <w:style w:type="character" w:customStyle="1" w:styleId="37">
    <w:name w:val="批注文字 Char"/>
    <w:basedOn w:val="31"/>
    <w:link w:val="13"/>
    <w:qFormat/>
    <w:uiPriority w:val="0"/>
    <w:rPr>
      <w:rFonts w:ascii="Times New Roman" w:hAnsi="Times New Roman" w:eastAsia="宋体" w:cs="Times New Roman"/>
      <w:szCs w:val="24"/>
    </w:rPr>
  </w:style>
  <w:style w:type="character" w:customStyle="1" w:styleId="38">
    <w:name w:val="批注主题 Char"/>
    <w:basedOn w:val="37"/>
    <w:link w:val="27"/>
    <w:qFormat/>
    <w:uiPriority w:val="0"/>
    <w:rPr>
      <w:rFonts w:ascii="Times New Roman" w:hAnsi="Times New Roman" w:eastAsia="宋体" w:cs="Times New Roman"/>
      <w:b/>
      <w:bCs/>
      <w:szCs w:val="24"/>
    </w:rPr>
  </w:style>
  <w:style w:type="character" w:customStyle="1" w:styleId="39">
    <w:name w:val="正文文本 Char"/>
    <w:basedOn w:val="31"/>
    <w:link w:val="2"/>
    <w:qFormat/>
    <w:uiPriority w:val="0"/>
    <w:rPr>
      <w:rFonts w:ascii="Times New Roman" w:hAnsi="Times New Roman" w:eastAsia="宋体" w:cs="Times New Roman"/>
      <w:sz w:val="24"/>
      <w:szCs w:val="24"/>
    </w:rPr>
  </w:style>
  <w:style w:type="character" w:customStyle="1" w:styleId="40">
    <w:name w:val="正文文本缩进 Char"/>
    <w:basedOn w:val="31"/>
    <w:link w:val="12"/>
    <w:qFormat/>
    <w:uiPriority w:val="0"/>
    <w:rPr>
      <w:rFonts w:ascii="Times New Roman" w:hAnsi="Times New Roman" w:eastAsia="宋体" w:cs="Times New Roman"/>
      <w:szCs w:val="24"/>
    </w:rPr>
  </w:style>
  <w:style w:type="character" w:customStyle="1" w:styleId="41">
    <w:name w:val="纯文本 Char"/>
    <w:basedOn w:val="31"/>
    <w:link w:val="14"/>
    <w:qFormat/>
    <w:uiPriority w:val="99"/>
    <w:rPr>
      <w:rFonts w:ascii="宋体" w:hAnsi="Courier New" w:eastAsia="宋体"/>
      <w:szCs w:val="24"/>
    </w:rPr>
  </w:style>
  <w:style w:type="character" w:customStyle="1" w:styleId="42">
    <w:name w:val="日期 Char"/>
    <w:basedOn w:val="31"/>
    <w:link w:val="16"/>
    <w:qFormat/>
    <w:uiPriority w:val="0"/>
    <w:rPr>
      <w:rFonts w:eastAsia="楷体_GB2312"/>
      <w:sz w:val="32"/>
    </w:rPr>
  </w:style>
  <w:style w:type="character" w:customStyle="1" w:styleId="43">
    <w:name w:val="批注框文本 Char"/>
    <w:basedOn w:val="31"/>
    <w:link w:val="19"/>
    <w:qFormat/>
    <w:uiPriority w:val="0"/>
    <w:rPr>
      <w:rFonts w:ascii="Times New Roman" w:hAnsi="Times New Roman" w:eastAsia="宋体" w:cs="Times New Roman"/>
      <w:sz w:val="18"/>
      <w:szCs w:val="18"/>
    </w:rPr>
  </w:style>
  <w:style w:type="paragraph" w:customStyle="1" w:styleId="4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7">
    <w:name w:val="列出段落1"/>
    <w:basedOn w:val="1"/>
    <w:qFormat/>
    <w:uiPriority w:val="34"/>
    <w:pPr>
      <w:ind w:firstLine="420" w:firstLineChars="200"/>
    </w:pPr>
    <w:rPr>
      <w:rFonts w:ascii="Calibri" w:hAnsi="Calibri"/>
      <w:kern w:val="0"/>
      <w:szCs w:val="20"/>
    </w:rPr>
  </w:style>
  <w:style w:type="paragraph" w:customStyle="1" w:styleId="4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qFormat/>
    <w:uiPriority w:val="0"/>
    <w:rPr>
      <w:rFonts w:ascii="Times New Roman" w:hAnsi="Times New Roman" w:eastAsia="宋体" w:cs="Times New Roman"/>
      <w:sz w:val="21"/>
      <w:szCs w:val="22"/>
      <w:lang w:val="en-US" w:eastAsia="zh-CN" w:bidi="ar-SA"/>
    </w:rPr>
  </w:style>
  <w:style w:type="paragraph" w:customStyle="1" w:styleId="5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3"/>
    <w:basedOn w:val="54"/>
    <w:qFormat/>
    <w:uiPriority w:val="0"/>
    <w:pPr>
      <w:widowControl/>
      <w:jc w:val="left"/>
    </w:pPr>
    <w:rPr>
      <w:rFonts w:ascii="宋体" w:hAnsi="Courier New" w:eastAsiaTheme="minorEastAsia" w:cstheme="minorBidi"/>
      <w:szCs w:val="21"/>
    </w:rPr>
  </w:style>
  <w:style w:type="paragraph" w:customStyle="1" w:styleId="56">
    <w:name w:val="纯文本_0_1"/>
    <w:basedOn w:val="1"/>
    <w:qFormat/>
    <w:uiPriority w:val="0"/>
    <w:pPr>
      <w:widowControl/>
      <w:jc w:val="left"/>
    </w:pPr>
    <w:rPr>
      <w:rFonts w:ascii="宋体" w:hAnsi="Courier New" w:eastAsiaTheme="minorEastAsia" w:cstheme="minorBidi"/>
      <w:szCs w:val="21"/>
    </w:rPr>
  </w:style>
  <w:style w:type="paragraph" w:customStyle="1" w:styleId="5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标题 7 Char"/>
    <w:basedOn w:val="31"/>
    <w:link w:val="9"/>
    <w:qFormat/>
    <w:uiPriority w:val="0"/>
    <w:rPr>
      <w:rFonts w:ascii="Times New Roman" w:hAnsi="Times New Roman" w:eastAsia="宋体" w:cs="Times New Roman"/>
      <w:b/>
      <w:bCs/>
      <w:sz w:val="24"/>
      <w:szCs w:val="24"/>
    </w:rPr>
  </w:style>
  <w:style w:type="character" w:customStyle="1" w:styleId="62">
    <w:name w:val="纯文本 Char2"/>
    <w:qFormat/>
    <w:uiPriority w:val="0"/>
    <w:rPr>
      <w:rFonts w:ascii="宋体" w:hAnsi="Courier New" w:eastAsia="宋体"/>
    </w:rPr>
  </w:style>
  <w:style w:type="character" w:customStyle="1" w:styleId="63">
    <w:name w:val="正文缩进 Char"/>
    <w:link w:val="11"/>
    <w:qFormat/>
    <w:uiPriority w:val="0"/>
    <w:rPr>
      <w:rFonts w:ascii="Times New Roman" w:hAnsi="Times New Roman" w:eastAsia="宋体" w:cs="Times New Roman"/>
      <w:szCs w:val="20"/>
    </w:rPr>
  </w:style>
  <w:style w:type="character" w:customStyle="1" w:styleId="64">
    <w:name w:val="标题 1 Char"/>
    <w:basedOn w:val="31"/>
    <w:qFormat/>
    <w:uiPriority w:val="0"/>
    <w:rPr>
      <w:rFonts w:ascii="Times New Roman" w:hAnsi="Times New Roman" w:eastAsia="宋体" w:cs="Times New Roman"/>
      <w:b/>
      <w:bCs/>
      <w:kern w:val="44"/>
      <w:sz w:val="44"/>
      <w:szCs w:val="44"/>
    </w:rPr>
  </w:style>
  <w:style w:type="character" w:customStyle="1" w:styleId="65">
    <w:name w:val="标题 2 Char"/>
    <w:basedOn w:val="31"/>
    <w:link w:val="6"/>
    <w:semiHidden/>
    <w:qFormat/>
    <w:uiPriority w:val="9"/>
    <w:rPr>
      <w:rFonts w:asciiTheme="majorHAnsi" w:hAnsiTheme="majorHAnsi" w:eastAsiaTheme="majorEastAsia" w:cstheme="majorBidi"/>
      <w:b/>
      <w:bCs/>
      <w:sz w:val="32"/>
      <w:szCs w:val="32"/>
    </w:rPr>
  </w:style>
  <w:style w:type="paragraph" w:customStyle="1" w:styleId="66">
    <w:name w:val="正文2"/>
    <w:basedOn w:val="1"/>
    <w:qFormat/>
    <w:uiPriority w:val="0"/>
    <w:pPr>
      <w:spacing w:before="156" w:line="360" w:lineRule="auto"/>
      <w:ind w:firstLine="510" w:firstLineChars="200"/>
    </w:pPr>
    <w:rPr>
      <w:sz w:val="24"/>
      <w:szCs w:val="20"/>
    </w:rPr>
  </w:style>
  <w:style w:type="character" w:customStyle="1" w:styleId="67">
    <w:name w:val="标题 1 Char1"/>
    <w:link w:val="5"/>
    <w:qFormat/>
    <w:uiPriority w:val="0"/>
    <w:rPr>
      <w:b/>
      <w:bCs/>
      <w:kern w:val="44"/>
      <w:sz w:val="28"/>
      <w:szCs w:val="44"/>
    </w:rPr>
  </w:style>
  <w:style w:type="paragraph" w:customStyle="1" w:styleId="6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69">
    <w:name w:val="font01"/>
    <w:basedOn w:val="31"/>
    <w:qFormat/>
    <w:uiPriority w:val="0"/>
    <w:rPr>
      <w:rFonts w:hint="eastAsia" w:ascii="宋体" w:hAnsi="宋体" w:eastAsia="宋体" w:cs="宋体"/>
      <w:color w:val="000000"/>
      <w:sz w:val="16"/>
      <w:szCs w:val="16"/>
      <w:u w:val="none"/>
    </w:rPr>
  </w:style>
  <w:style w:type="character" w:customStyle="1" w:styleId="70">
    <w:name w:val="font11"/>
    <w:basedOn w:val="31"/>
    <w:qFormat/>
    <w:uiPriority w:val="0"/>
    <w:rPr>
      <w:rFonts w:hint="eastAsia" w:ascii="宋体" w:hAnsi="宋体" w:eastAsia="宋体" w:cs="宋体"/>
      <w:color w:val="000000"/>
      <w:sz w:val="16"/>
      <w:szCs w:val="16"/>
      <w:u w:val="none"/>
    </w:rPr>
  </w:style>
  <w:style w:type="paragraph" w:customStyle="1" w:styleId="71">
    <w:name w:val="列出段落2"/>
    <w:basedOn w:val="1"/>
    <w:qFormat/>
    <w:uiPriority w:val="0"/>
    <w:pPr>
      <w:ind w:firstLine="420" w:firstLineChars="200"/>
    </w:p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4D138-A471-4F5B-A7C2-BB0AC75225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18450</Words>
  <Characters>19047</Characters>
  <Lines>142</Lines>
  <Paragraphs>40</Paragraphs>
  <TotalTime>8</TotalTime>
  <ScaleCrop>false</ScaleCrop>
  <LinksUpToDate>false</LinksUpToDate>
  <CharactersWithSpaces>20633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2019-10-31T00:53:00Z</dcterms:created>
  <dc:creator>ASUS</dc:creator>
  <cp:lastModifiedBy>WPS_1591089000</cp:lastModifiedBy>
  <cp:lastPrinted>2019-09-22T05:00:00Z</cp:lastPrinted>
  <dcterms:modified xsi:type="dcterms:W3CDTF">2022-06-16T06:35:45Z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894BCA21A6A342F989515220118AD880</vt:lpwstr>
  </property>
</Properties>
</file>