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r>
        <w:rPr>
          <w:rFonts w:ascii="宋体"/>
          <w:b/>
          <w:kern w:val="0"/>
          <w:sz w:val="44"/>
          <w:szCs w:val="44"/>
        </w:rPr>
        <w:t>SMCG-202</w:t>
      </w:r>
      <w:r>
        <w:rPr>
          <w:rFonts w:hint="eastAsia" w:ascii="宋体"/>
          <w:b/>
          <w:kern w:val="0"/>
          <w:sz w:val="44"/>
          <w:szCs w:val="44"/>
        </w:rPr>
        <w:t>2</w:t>
      </w:r>
      <w:r>
        <w:rPr>
          <w:rFonts w:ascii="宋体"/>
          <w:b/>
          <w:kern w:val="0"/>
          <w:sz w:val="44"/>
          <w:szCs w:val="44"/>
        </w:rPr>
        <w:t>-GK00</w:t>
      </w:r>
      <w:r>
        <w:rPr>
          <w:rFonts w:hint="eastAsia" w:ascii="宋体"/>
          <w:b/>
          <w:kern w:val="0"/>
          <w:sz w:val="44"/>
          <w:szCs w:val="44"/>
        </w:rPr>
        <w:t>1</w:t>
      </w:r>
      <w:r>
        <w:rPr>
          <w:rFonts w:ascii="宋体"/>
          <w:b/>
          <w:kern w:val="0"/>
          <w:sz w:val="44"/>
          <w:szCs w:val="44"/>
        </w:rPr>
        <w:t>-1</w:t>
      </w:r>
      <w:r>
        <w:rPr>
          <w:rFonts w:hint="eastAsia" w:ascii="宋体"/>
          <w:b/>
          <w:kern w:val="0"/>
          <w:sz w:val="44"/>
          <w:szCs w:val="44"/>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ascii="宋体"/>
          <w:kern w:val="0"/>
          <w:sz w:val="28"/>
        </w:rPr>
      </w:pPr>
      <w:r>
        <w:rPr>
          <w:rFonts w:hint="eastAsia" w:ascii="宋体"/>
          <w:kern w:val="0"/>
          <w:sz w:val="28"/>
        </w:rPr>
        <w:t>采购项目：三门县人民</w:t>
      </w:r>
      <w:r>
        <w:rPr>
          <w:rFonts w:ascii="宋体"/>
          <w:kern w:val="0"/>
          <w:sz w:val="28"/>
        </w:rPr>
        <w:t>检察院物业管理服务采购项目</w:t>
      </w:r>
      <w:r>
        <w:rPr>
          <w:rFonts w:hint="eastAsia" w:ascii="宋体"/>
          <w:kern w:val="0"/>
          <w:sz w:val="28"/>
        </w:rPr>
        <w:t>（三次招标）</w:t>
      </w:r>
    </w:p>
    <w:p>
      <w:pPr>
        <w:autoSpaceDE w:val="0"/>
        <w:autoSpaceDN w:val="0"/>
        <w:adjustRightInd w:val="0"/>
        <w:spacing w:line="360" w:lineRule="auto"/>
        <w:jc w:val="center"/>
        <w:rPr>
          <w:rFonts w:ascii="宋体"/>
          <w:kern w:val="0"/>
          <w:sz w:val="28"/>
        </w:rPr>
      </w:pPr>
      <w:r>
        <w:rPr>
          <w:rFonts w:hint="eastAsia" w:ascii="宋体"/>
          <w:kern w:val="0"/>
          <w:sz w:val="28"/>
        </w:rPr>
        <w:t>采购人：三门县人民</w:t>
      </w:r>
      <w:r>
        <w:rPr>
          <w:rFonts w:ascii="宋体"/>
          <w:kern w:val="0"/>
          <w:sz w:val="28"/>
        </w:rPr>
        <w:t>检察院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hint="eastAsia" w:ascii="宋体" w:hAnsi="宋体" w:cs="宋体"/>
          <w:kern w:val="0"/>
          <w:sz w:val="28"/>
          <w:szCs w:val="28"/>
        </w:rPr>
        <w:t>三门县公共</w:t>
      </w:r>
      <w:r>
        <w:rPr>
          <w:rFonts w:ascii="宋体" w:hAnsi="宋体" w:cs="宋体"/>
          <w:kern w:val="0"/>
          <w:sz w:val="28"/>
          <w:szCs w:val="28"/>
        </w:rPr>
        <w:t>资源交易中心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pPr>
      <w:r>
        <w:rPr>
          <w:rFonts w:ascii="宋体" w:hAnsi="宋体" w:cs="宋体"/>
          <w:kern w:val="0"/>
          <w:sz w:val="28"/>
          <w:szCs w:val="28"/>
        </w:rPr>
        <w:t>202</w:t>
      </w:r>
      <w:r>
        <w:rPr>
          <w:rFonts w:hint="eastAsia" w:ascii="宋体" w:hAnsi="宋体" w:cs="宋体"/>
          <w:kern w:val="0"/>
          <w:sz w:val="28"/>
          <w:szCs w:val="28"/>
        </w:rPr>
        <w:t>2年4月8日</w:t>
      </w:r>
    </w:p>
    <w:p>
      <w:pPr>
        <w:spacing w:line="360" w:lineRule="auto"/>
      </w:pPr>
    </w:p>
    <w:p>
      <w:pPr>
        <w:pStyle w:val="25"/>
      </w:pPr>
    </w:p>
    <w:p>
      <w:pPr>
        <w:pStyle w:val="25"/>
      </w:pPr>
    </w:p>
    <w:p>
      <w:pPr>
        <w:pStyle w:val="25"/>
      </w:pPr>
    </w:p>
    <w:sdt>
      <w:sdtPr>
        <w:rPr>
          <w:rFonts w:ascii="宋体" w:hAnsi="宋体"/>
        </w:rPr>
        <w:id w:val="147465531"/>
        <w15:color w:val="DBDBDB"/>
        <w:docPartObj>
          <w:docPartGallery w:val="Table of Contents"/>
          <w:docPartUnique/>
        </w:docPartObj>
      </w:sdtPr>
      <w:sdtEndPr>
        <w:rPr>
          <w:rFonts w:ascii="Times New Roman" w:hAnsi="Times New Roman"/>
          <w:szCs w:val="28"/>
        </w:rPr>
      </w:sdtEndPr>
      <w:sdtContent>
        <w:p>
          <w:pPr>
            <w:pageBreakBefore/>
            <w:jc w:val="center"/>
            <w:rPr>
              <w:rFonts w:ascii="宋体" w:hAnsi="宋体" w:cs="宋体"/>
              <w:b/>
              <w:bCs/>
              <w:sz w:val="36"/>
              <w:szCs w:val="36"/>
            </w:rPr>
          </w:pPr>
          <w:r>
            <w:rPr>
              <w:rFonts w:hint="eastAsia" w:ascii="宋体" w:hAnsi="宋体" w:cs="宋体"/>
              <w:b/>
              <w:bCs/>
              <w:sz w:val="36"/>
              <w:szCs w:val="36"/>
            </w:rPr>
            <w:t>目  录</w:t>
          </w:r>
        </w:p>
        <w:p>
          <w:pPr>
            <w:pStyle w:val="15"/>
            <w:tabs>
              <w:tab w:val="right" w:leader="dot" w:pos="9040"/>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"_Toc11558" </w:instrText>
          </w:r>
          <w:r>
            <w:fldChar w:fldCharType="separate"/>
          </w:r>
          <w:r>
            <w:rPr>
              <w:rFonts w:hint="eastAsia" w:ascii="宋体" w:hAnsi="宋体" w:cs="宋体"/>
              <w:sz w:val="28"/>
              <w:szCs w:val="28"/>
            </w:rPr>
            <w:t>第一章 投标邀请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_Toc11558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5"/>
            <w:tabs>
              <w:tab w:val="right" w:leader="dot" w:pos="9040"/>
            </w:tabs>
            <w:rPr>
              <w:rFonts w:ascii="宋体" w:hAnsi="宋体" w:cs="宋体"/>
              <w:sz w:val="28"/>
              <w:szCs w:val="28"/>
            </w:rPr>
          </w:pPr>
          <w:r>
            <w:fldChar w:fldCharType="begin"/>
          </w:r>
          <w:r>
            <w:instrText xml:space="preserve"> HYPERLINK \l "_Toc18866" </w:instrText>
          </w:r>
          <w:r>
            <w:fldChar w:fldCharType="separate"/>
          </w:r>
          <w:r>
            <w:rPr>
              <w:rFonts w:hint="eastAsia" w:ascii="宋体" w:hAnsi="宋体" w:cs="宋体"/>
              <w:sz w:val="28"/>
              <w:szCs w:val="28"/>
            </w:rPr>
            <w:t>第二章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_Toc18866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5"/>
            <w:tabs>
              <w:tab w:val="right" w:leader="dot" w:pos="9040"/>
            </w:tabs>
            <w:rPr>
              <w:rFonts w:ascii="宋体" w:hAnsi="宋体" w:cs="宋体"/>
              <w:sz w:val="28"/>
              <w:szCs w:val="28"/>
            </w:rPr>
          </w:pPr>
          <w:r>
            <w:fldChar w:fldCharType="begin"/>
          </w:r>
          <w:r>
            <w:instrText xml:space="preserve"> HYPERLINK \l "_Toc3378" </w:instrText>
          </w:r>
          <w:r>
            <w:fldChar w:fldCharType="separate"/>
          </w:r>
          <w:r>
            <w:rPr>
              <w:rFonts w:hint="eastAsia" w:ascii="宋体" w:hAnsi="宋体" w:cs="宋体"/>
              <w:sz w:val="28"/>
              <w:szCs w:val="28"/>
            </w:rPr>
            <w:t>第三章 招标需求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_Toc3378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5"/>
            <w:tabs>
              <w:tab w:val="right" w:leader="dot" w:pos="9040"/>
            </w:tabs>
            <w:rPr>
              <w:rFonts w:ascii="宋体" w:hAnsi="宋体" w:cs="宋体"/>
              <w:sz w:val="28"/>
              <w:szCs w:val="28"/>
            </w:rPr>
          </w:pPr>
          <w:r>
            <w:fldChar w:fldCharType="begin"/>
          </w:r>
          <w:r>
            <w:instrText xml:space="preserve"> HYPERLINK \l "_Toc9908" </w:instrText>
          </w:r>
          <w:r>
            <w:fldChar w:fldCharType="separate"/>
          </w:r>
          <w:r>
            <w:rPr>
              <w:rFonts w:hint="eastAsia" w:ascii="宋体" w:hAnsi="宋体" w:cs="宋体"/>
              <w:sz w:val="28"/>
              <w:szCs w:val="28"/>
            </w:rPr>
            <w:t>第四章 评标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_Toc9908 \h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fldChar w:fldCharType="end"/>
          </w:r>
        </w:p>
        <w:p>
          <w:pPr>
            <w:pStyle w:val="15"/>
            <w:tabs>
              <w:tab w:val="right" w:leader="dot" w:pos="9040"/>
            </w:tabs>
            <w:rPr>
              <w:rFonts w:ascii="宋体" w:hAnsi="宋体" w:cs="宋体"/>
              <w:sz w:val="28"/>
              <w:szCs w:val="28"/>
            </w:rPr>
          </w:pPr>
          <w:r>
            <w:fldChar w:fldCharType="begin"/>
          </w:r>
          <w:r>
            <w:instrText xml:space="preserve"> HYPERLINK \l "_Toc24542" </w:instrText>
          </w:r>
          <w:r>
            <w:fldChar w:fldCharType="separate"/>
          </w:r>
          <w:r>
            <w:rPr>
              <w:rFonts w:hint="eastAsia" w:ascii="宋体" w:hAnsi="宋体" w:cs="宋体"/>
              <w:sz w:val="28"/>
              <w:szCs w:val="28"/>
            </w:rPr>
            <w:t>第五章 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_Toc24542 \h </w:instrText>
          </w:r>
          <w:r>
            <w:rPr>
              <w:rFonts w:hint="eastAsia" w:ascii="宋体" w:hAnsi="宋体" w:cs="宋体"/>
              <w:sz w:val="28"/>
              <w:szCs w:val="28"/>
            </w:rPr>
            <w:fldChar w:fldCharType="separate"/>
          </w:r>
          <w:r>
            <w:rPr>
              <w:rFonts w:hint="eastAsia"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fldChar w:fldCharType="end"/>
          </w:r>
        </w:p>
        <w:p>
          <w:pPr>
            <w:pStyle w:val="15"/>
            <w:tabs>
              <w:tab w:val="right" w:leader="dot" w:pos="9040"/>
            </w:tabs>
            <w:rPr>
              <w:rFonts w:ascii="宋体" w:hAnsi="宋体" w:cs="宋体"/>
              <w:sz w:val="28"/>
              <w:szCs w:val="28"/>
            </w:rPr>
          </w:pPr>
          <w:r>
            <w:fldChar w:fldCharType="begin"/>
          </w:r>
          <w:r>
            <w:instrText xml:space="preserve"> HYPERLINK \l "_Toc20037" </w:instrText>
          </w:r>
          <w:r>
            <w:fldChar w:fldCharType="separate"/>
          </w:r>
          <w:r>
            <w:rPr>
              <w:rFonts w:hint="eastAsia" w:ascii="宋体" w:hAnsi="宋体" w:cs="宋体"/>
              <w:sz w:val="28"/>
              <w:szCs w:val="28"/>
            </w:rPr>
            <w:t>第六章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_Toc20037 \h </w:instrText>
          </w:r>
          <w:r>
            <w:rPr>
              <w:rFonts w:hint="eastAsia" w:ascii="宋体" w:hAnsi="宋体" w:cs="宋体"/>
              <w:sz w:val="28"/>
              <w:szCs w:val="28"/>
            </w:rPr>
            <w:fldChar w:fldCharType="separate"/>
          </w:r>
          <w:r>
            <w:rPr>
              <w:rFonts w:hint="eastAsia"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fldChar w:fldCharType="end"/>
          </w:r>
        </w:p>
        <w:p>
          <w:pPr>
            <w:spacing w:line="480" w:lineRule="auto"/>
            <w:rPr>
              <w:sz w:val="28"/>
              <w:szCs w:val="28"/>
            </w:rPr>
          </w:pPr>
          <w:r>
            <w:rPr>
              <w:rFonts w:hint="eastAsia" w:ascii="宋体" w:hAnsi="宋体" w:cs="宋体"/>
              <w:sz w:val="28"/>
              <w:szCs w:val="28"/>
            </w:rPr>
            <w:fldChar w:fldCharType="end"/>
          </w:r>
        </w:p>
      </w:sdtContent>
    </w:sdt>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pStyle w:val="3"/>
      </w:pPr>
      <w:bookmarkStart w:id="0" w:name="_Toc11558"/>
      <w:r>
        <w:rPr>
          <w:rFonts w:hint="eastAsia"/>
        </w:rPr>
        <w:t>投标邀请</w:t>
      </w:r>
      <w:bookmarkEnd w:id="0"/>
    </w:p>
    <w:p>
      <w:pPr>
        <w:pStyle w:val="4"/>
        <w:ind w:right="0" w:firstLine="480" w:firstLineChars="200"/>
        <w:rPr>
          <w:rFonts w:cs="宋体"/>
          <w:b w:val="0"/>
          <w:sz w:val="24"/>
          <w:szCs w:val="24"/>
        </w:rPr>
      </w:pPr>
      <w:bookmarkStart w:id="1" w:name="_Toc35393621"/>
      <w:bookmarkStart w:id="2" w:name="_Toc35393790"/>
      <w:bookmarkStart w:id="3" w:name="_Toc28359079"/>
      <w:bookmarkStart w:id="4" w:name="_Toc28359002"/>
      <w:bookmarkStart w:id="5" w:name="_Hlk24379207"/>
      <w:r>
        <w:rPr>
          <w:rFonts w:hint="eastAsia" w:cs="宋体"/>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hint="eastAsia" w:cs="宋体"/>
          <w:b w:val="0"/>
          <w:sz w:val="24"/>
          <w:szCs w:val="24"/>
        </w:rPr>
        <w:t>受采购人委托，现就三门县人民</w:t>
      </w:r>
      <w:r>
        <w:rPr>
          <w:rFonts w:cs="宋体"/>
          <w:b w:val="0"/>
          <w:sz w:val="24"/>
          <w:szCs w:val="24"/>
        </w:rPr>
        <w:t>检察院</w:t>
      </w:r>
      <w:r>
        <w:rPr>
          <w:rFonts w:hint="eastAsia" w:cs="宋体"/>
          <w:b w:val="0"/>
          <w:sz w:val="24"/>
          <w:szCs w:val="24"/>
        </w:rPr>
        <w:t>物业管理服务采购项目进行公开招标采购，欢迎合格供应商前来投标。</w:t>
      </w:r>
    </w:p>
    <w:p>
      <w:pPr>
        <w:pStyle w:val="4"/>
        <w:ind w:right="0" w:firstLine="482" w:firstLineChars="200"/>
        <w:rPr>
          <w:rFonts w:cs="宋体"/>
          <w:bCs/>
          <w:sz w:val="24"/>
          <w:szCs w:val="24"/>
        </w:rPr>
      </w:pPr>
      <w:r>
        <w:rPr>
          <w:rFonts w:hint="eastAsia" w:cs="宋体"/>
          <w:bCs/>
          <w:sz w:val="24"/>
          <w:szCs w:val="24"/>
        </w:rPr>
        <w:t>一、项目基本情况</w:t>
      </w:r>
      <w:bookmarkEnd w:id="1"/>
      <w:bookmarkEnd w:id="2"/>
      <w:bookmarkEnd w:id="3"/>
      <w:bookmarkEnd w:id="4"/>
    </w:p>
    <w:p>
      <w:pPr>
        <w:spacing w:line="360" w:lineRule="auto"/>
        <w:ind w:firstLine="480" w:firstLineChars="200"/>
        <w:rPr>
          <w:rFonts w:ascii="宋体" w:hAnsi="宋体" w:cs="宋体"/>
          <w:sz w:val="24"/>
        </w:rPr>
      </w:pPr>
      <w:r>
        <w:rPr>
          <w:rFonts w:hint="eastAsia" w:ascii="宋体" w:hAnsi="宋体" w:cs="宋体"/>
          <w:sz w:val="24"/>
        </w:rPr>
        <w:t>项目编号：</w:t>
      </w:r>
      <w:r>
        <w:rPr>
          <w:rFonts w:asciiTheme="minorEastAsia" w:hAnsiTheme="minorEastAsia" w:eastAsiaTheme="minorEastAsia" w:cstheme="minorEastAsia"/>
          <w:sz w:val="24"/>
        </w:rPr>
        <w:t>SMCG-202</w:t>
      </w:r>
      <w:r>
        <w:rPr>
          <w:rFonts w:hint="eastAsia" w:asciiTheme="minorEastAsia" w:hAnsiTheme="minorEastAsia" w:eastAsiaTheme="minorEastAsia" w:cstheme="minorEastAsia"/>
          <w:sz w:val="24"/>
        </w:rPr>
        <w:t>2</w:t>
      </w:r>
      <w:r>
        <w:rPr>
          <w:rFonts w:asciiTheme="minorEastAsia" w:hAnsiTheme="minorEastAsia" w:eastAsiaTheme="minorEastAsia" w:cstheme="minorEastAsia"/>
          <w:sz w:val="24"/>
        </w:rPr>
        <w:t>-GK00</w:t>
      </w: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号</w:t>
      </w:r>
    </w:p>
    <w:bookmarkEnd w:id="5"/>
    <w:p>
      <w:pPr>
        <w:spacing w:line="360" w:lineRule="auto"/>
        <w:ind w:firstLine="480" w:firstLineChars="200"/>
      </w:pPr>
      <w:r>
        <w:rPr>
          <w:rFonts w:hint="eastAsia" w:ascii="宋体" w:hAnsi="宋体" w:cs="宋体"/>
          <w:sz w:val="24"/>
        </w:rPr>
        <w:t>项目名称：三门县人民</w:t>
      </w:r>
      <w:r>
        <w:rPr>
          <w:rFonts w:ascii="宋体" w:hAnsi="宋体" w:cs="宋体"/>
          <w:sz w:val="24"/>
        </w:rPr>
        <w:t>检察院</w:t>
      </w:r>
      <w:r>
        <w:rPr>
          <w:rFonts w:hint="eastAsia" w:ascii="宋体" w:hAnsi="宋体" w:cs="宋体"/>
          <w:sz w:val="24"/>
        </w:rPr>
        <w:t>物业管理服务采购项目（三次招标）</w:t>
      </w:r>
    </w:p>
    <w:tbl>
      <w:tblPr>
        <w:tblStyle w:val="20"/>
        <w:tblpPr w:leftFromText="181" w:rightFromText="181" w:bottomFromText="170" w:vertAnchor="text" w:tblpXSpec="center" w:tblpY="1"/>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770"/>
        <w:gridCol w:w="709"/>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77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0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992"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276"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c>
          <w:tcPr>
            <w:tcW w:w="1276" w:type="dxa"/>
            <w:vAlign w:val="center"/>
          </w:tcPr>
          <w:p>
            <w:pPr>
              <w:jc w:val="center"/>
              <w:rPr>
                <w:rFonts w:ascii="宋体" w:hAnsi="宋体" w:cs="宋体"/>
                <w:b/>
                <w:szCs w:val="21"/>
              </w:rPr>
            </w:pPr>
            <w:r>
              <w:rPr>
                <w:rFonts w:hint="eastAsia" w:ascii="宋体" w:hAnsi="宋体" w:cs="宋体"/>
                <w:b/>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2741" w:type="dxa"/>
            <w:vAlign w:val="center"/>
          </w:tcPr>
          <w:p>
            <w:pPr>
              <w:tabs>
                <w:tab w:val="left" w:pos="8280"/>
              </w:tabs>
              <w:autoSpaceDE w:val="0"/>
              <w:autoSpaceDN w:val="0"/>
              <w:adjustRightInd w:val="0"/>
              <w:rPr>
                <w:rFonts w:ascii="宋体" w:hAnsi="宋体" w:cs="宋体"/>
                <w:b/>
                <w:szCs w:val="21"/>
              </w:rPr>
            </w:pPr>
            <w:r>
              <w:rPr>
                <w:rFonts w:hint="eastAsia" w:ascii="宋体" w:hAnsi="宋体" w:cs="宋体"/>
                <w:sz w:val="24"/>
              </w:rPr>
              <w:t>三门县人民</w:t>
            </w:r>
            <w:r>
              <w:rPr>
                <w:rFonts w:ascii="宋体" w:hAnsi="宋体" w:cs="宋体"/>
                <w:sz w:val="24"/>
              </w:rPr>
              <w:t>检察院</w:t>
            </w:r>
            <w:r>
              <w:rPr>
                <w:rFonts w:hint="eastAsia" w:ascii="宋体" w:hAnsi="宋体" w:cs="宋体"/>
                <w:sz w:val="24"/>
              </w:rPr>
              <w:t>物业管理服务采购</w:t>
            </w:r>
          </w:p>
        </w:tc>
        <w:tc>
          <w:tcPr>
            <w:tcW w:w="770"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70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99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315</w:t>
            </w:r>
          </w:p>
        </w:tc>
        <w:tc>
          <w:tcPr>
            <w:tcW w:w="1276"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315</w:t>
            </w:r>
          </w:p>
        </w:tc>
        <w:tc>
          <w:tcPr>
            <w:tcW w:w="1276"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3年</w:t>
            </w:r>
          </w:p>
        </w:tc>
      </w:tr>
    </w:tbl>
    <w:p>
      <w:pPr>
        <w:pStyle w:val="4"/>
        <w:tabs>
          <w:tab w:val="left" w:pos="9660"/>
          <w:tab w:val="clear" w:pos="8280"/>
        </w:tabs>
        <w:ind w:right="0" w:firstLine="482" w:firstLineChars="200"/>
        <w:jc w:val="left"/>
        <w:rPr>
          <w:rFonts w:cs="宋体"/>
          <w:bCs/>
          <w:sz w:val="24"/>
          <w:szCs w:val="24"/>
        </w:rPr>
      </w:pPr>
      <w:bookmarkStart w:id="6" w:name="_Toc35393622"/>
      <w:bookmarkStart w:id="7" w:name="_Toc28359003"/>
      <w:bookmarkStart w:id="8" w:name="_Toc35393791"/>
      <w:bookmarkStart w:id="9" w:name="_Toc28359080"/>
      <w:r>
        <w:rPr>
          <w:rFonts w:hint="eastAsia" w:cs="宋体"/>
          <w:bCs/>
          <w:sz w:val="24"/>
          <w:szCs w:val="24"/>
        </w:rPr>
        <w:t>二、投标人的资格要求</w:t>
      </w:r>
      <w:bookmarkEnd w:id="6"/>
      <w:bookmarkEnd w:id="7"/>
      <w:bookmarkEnd w:id="8"/>
      <w:bookmarkEnd w:id="9"/>
    </w:p>
    <w:p>
      <w:pPr>
        <w:spacing w:line="360" w:lineRule="auto"/>
        <w:ind w:firstLine="480" w:firstLineChars="200"/>
        <w:jc w:val="left"/>
        <w:rPr>
          <w:rFonts w:ascii="宋体" w:hAnsi="宋体" w:cs="宋体"/>
          <w:sz w:val="24"/>
        </w:rPr>
      </w:pPr>
      <w:r>
        <w:rPr>
          <w:rFonts w:hint="eastAsia" w:ascii="宋体" w:hAnsi="宋体" w:cs="宋体"/>
          <w:sz w:val="24"/>
        </w:rPr>
        <w:t>（一）满足《中华人民共和国政府采购法》第二十二条规定。</w:t>
      </w:r>
    </w:p>
    <w:p>
      <w:pPr>
        <w:spacing w:line="360" w:lineRule="auto"/>
        <w:ind w:firstLine="480" w:firstLineChars="200"/>
        <w:jc w:val="left"/>
        <w:rPr>
          <w:rFonts w:ascii="宋体" w:hAnsi="宋体" w:cs="宋体"/>
          <w:sz w:val="24"/>
        </w:rPr>
      </w:pPr>
      <w:bookmarkStart w:id="10" w:name="_Toc28359081"/>
      <w:bookmarkStart w:id="11" w:name="_Toc35393792"/>
      <w:bookmarkStart w:id="12" w:name="_Toc35393623"/>
      <w:bookmarkStart w:id="13" w:name="_Toc28359004"/>
      <w:r>
        <w:rPr>
          <w:rFonts w:hint="eastAsia" w:ascii="宋体" w:hAnsi="宋体" w:cs="宋体"/>
          <w:sz w:val="24"/>
        </w:rPr>
        <w:t>（二）本项目的特定资格要求：无。</w:t>
      </w:r>
    </w:p>
    <w:p>
      <w:pPr>
        <w:spacing w:line="360" w:lineRule="auto"/>
        <w:ind w:firstLine="480" w:firstLineChars="200"/>
        <w:jc w:val="left"/>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jc w:val="left"/>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tabs>
          <w:tab w:val="left" w:pos="9660"/>
          <w:tab w:val="clear" w:pos="8280"/>
        </w:tabs>
        <w:ind w:right="0" w:firstLine="482" w:firstLineChars="200"/>
        <w:jc w:val="left"/>
        <w:rPr>
          <w:rFonts w:cs="宋体"/>
          <w:bCs/>
          <w:sz w:val="24"/>
          <w:szCs w:val="24"/>
        </w:rPr>
      </w:pPr>
      <w:r>
        <w:rPr>
          <w:rFonts w:hint="eastAsia" w:cs="宋体"/>
          <w:bCs/>
          <w:sz w:val="24"/>
          <w:szCs w:val="24"/>
        </w:rPr>
        <w:t>三、获取招标文件</w:t>
      </w:r>
      <w:bookmarkEnd w:id="10"/>
      <w:bookmarkEnd w:id="11"/>
      <w:bookmarkEnd w:id="12"/>
      <w:bookmarkEnd w:id="13"/>
    </w:p>
    <w:p>
      <w:pPr>
        <w:spacing w:line="360" w:lineRule="auto"/>
        <w:ind w:firstLine="480" w:firstLineChars="200"/>
        <w:jc w:val="left"/>
        <w:rPr>
          <w:rFonts w:ascii="宋体" w:hAnsi="宋体" w:cs="宋体"/>
          <w:sz w:val="24"/>
        </w:rPr>
      </w:pPr>
      <w:r>
        <w:rPr>
          <w:rFonts w:hint="eastAsia" w:ascii="宋体" w:hAnsi="宋体" w:cs="宋体"/>
          <w:sz w:val="24"/>
        </w:rPr>
        <w:t>（一）时间：</w:t>
      </w:r>
      <w:r>
        <w:rPr>
          <w:rFonts w:ascii="宋体" w:hAnsi="宋体" w:cs="宋体"/>
          <w:sz w:val="24"/>
          <w:u w:val="single"/>
        </w:rPr>
        <w:t>202</w:t>
      </w:r>
      <w:r>
        <w:rPr>
          <w:rFonts w:hint="eastAsia" w:ascii="宋体" w:hAnsi="宋体" w:cs="宋体"/>
          <w:sz w:val="24"/>
          <w:u w:val="single"/>
        </w:rPr>
        <w:t>2年4月8日</w:t>
      </w:r>
      <w:r>
        <w:rPr>
          <w:rFonts w:hint="eastAsia" w:ascii="宋体" w:hAnsi="宋体" w:cs="宋体"/>
          <w:sz w:val="24"/>
        </w:rPr>
        <w:t>至</w:t>
      </w:r>
      <w:r>
        <w:rPr>
          <w:rFonts w:ascii="宋体" w:hAnsi="宋体" w:cs="宋体"/>
          <w:sz w:val="24"/>
          <w:u w:val="single"/>
        </w:rPr>
        <w:t>2022</w:t>
      </w:r>
      <w:r>
        <w:rPr>
          <w:rFonts w:hint="eastAsia" w:ascii="宋体" w:hAnsi="宋体" w:cs="宋体"/>
          <w:sz w:val="24"/>
          <w:u w:val="single"/>
        </w:rPr>
        <w:t>年4月29日</w:t>
      </w:r>
    </w:p>
    <w:p>
      <w:pPr>
        <w:spacing w:line="360" w:lineRule="auto"/>
        <w:ind w:firstLine="480" w:firstLineChars="200"/>
        <w:jc w:val="left"/>
        <w:rPr>
          <w:rFonts w:ascii="宋体" w:hAnsi="宋体" w:cs="宋体"/>
          <w:sz w:val="24"/>
        </w:rPr>
      </w:pPr>
      <w:r>
        <w:rPr>
          <w:rFonts w:hint="eastAsia" w:ascii="宋体" w:hAnsi="宋体" w:cs="宋体"/>
          <w:sz w:val="24"/>
        </w:rPr>
        <w:t>（二）方式：浙江政府采购网（</w:t>
      </w:r>
      <w:r>
        <w:rPr>
          <w:rFonts w:ascii="宋体" w:hAnsi="宋体" w:cs="宋体"/>
          <w:sz w:val="24"/>
        </w:rPr>
        <w:t>https://zfcg.czt.zj.gov.cn</w:t>
      </w:r>
      <w:r>
        <w:rPr>
          <w:rFonts w:hint="eastAsia" w:ascii="宋体" w:hAnsi="宋体" w:cs="宋体"/>
          <w:sz w:val="24"/>
        </w:rPr>
        <w:t>）免费下载</w:t>
      </w:r>
    </w:p>
    <w:p>
      <w:pPr>
        <w:pStyle w:val="4"/>
        <w:ind w:right="0" w:firstLine="482" w:firstLineChars="200"/>
        <w:rPr>
          <w:rFonts w:cs="宋体"/>
          <w:bCs/>
          <w:sz w:val="24"/>
          <w:szCs w:val="24"/>
        </w:rPr>
      </w:pPr>
      <w:bookmarkStart w:id="14" w:name="_Toc28359005"/>
      <w:bookmarkStart w:id="15" w:name="_Toc35393624"/>
      <w:bookmarkStart w:id="16" w:name="_Toc35393793"/>
      <w:bookmarkStart w:id="17" w:name="_Toc28359082"/>
      <w:r>
        <w:rPr>
          <w:rFonts w:hint="eastAsia" w:cs="宋体"/>
          <w:bCs/>
          <w:sz w:val="24"/>
          <w:szCs w:val="24"/>
        </w:rPr>
        <w:t>四、提交投标文件</w:t>
      </w:r>
      <w:bookmarkEnd w:id="14"/>
      <w:bookmarkEnd w:id="15"/>
      <w:bookmarkEnd w:id="16"/>
      <w:bookmarkEnd w:id="17"/>
    </w:p>
    <w:p>
      <w:pPr>
        <w:spacing w:line="360" w:lineRule="auto"/>
        <w:ind w:firstLine="480" w:firstLineChars="200"/>
        <w:jc w:val="left"/>
        <w:rPr>
          <w:rFonts w:ascii="宋体" w:hAnsi="宋体" w:cs="宋体"/>
          <w:sz w:val="24"/>
        </w:rPr>
      </w:pPr>
      <w:bookmarkStart w:id="18" w:name="_Toc28359084"/>
      <w:bookmarkStart w:id="19" w:name="_Toc35393794"/>
      <w:bookmarkStart w:id="20" w:name="_Toc28359007"/>
      <w:bookmarkStart w:id="21" w:name="_Toc35393625"/>
      <w:r>
        <w:rPr>
          <w:rFonts w:hint="eastAsia" w:ascii="宋体" w:hAnsi="宋体" w:cs="宋体"/>
          <w:sz w:val="24"/>
        </w:rPr>
        <w:t>（一）截止时间（开标时间）：</w:t>
      </w:r>
      <w:r>
        <w:rPr>
          <w:rFonts w:ascii="宋体" w:hAnsi="宋体" w:cs="宋体"/>
          <w:sz w:val="24"/>
          <w:u w:val="single"/>
        </w:rPr>
        <w:t>2022</w:t>
      </w:r>
      <w:r>
        <w:rPr>
          <w:rFonts w:hint="eastAsia" w:ascii="宋体" w:hAnsi="宋体" w:cs="宋体"/>
          <w:sz w:val="24"/>
          <w:u w:val="single"/>
        </w:rPr>
        <w:t>年4月29日</w:t>
      </w:r>
      <w:r>
        <w:rPr>
          <w:rFonts w:ascii="宋体" w:hAnsi="宋体" w:cs="宋体"/>
          <w:bCs/>
          <w:sz w:val="24"/>
          <w:u w:val="single"/>
        </w:rPr>
        <w:t>9</w:t>
      </w:r>
      <w:r>
        <w:rPr>
          <w:rFonts w:hint="eastAsia" w:ascii="宋体" w:hAnsi="宋体" w:cs="宋体"/>
          <w:bCs/>
          <w:sz w:val="24"/>
          <w:u w:val="single"/>
        </w:rPr>
        <w:t>点整</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（二）投标网址：浙江政府采购云平台（http://www.zcygov.cn）</w:t>
      </w:r>
    </w:p>
    <w:bookmarkEnd w:id="18"/>
    <w:bookmarkEnd w:id="19"/>
    <w:bookmarkEnd w:id="20"/>
    <w:bookmarkEnd w:id="21"/>
    <w:p>
      <w:pPr>
        <w:pStyle w:val="1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），三门县公共资源交易网（</w:t>
      </w:r>
      <w:r>
        <w:rPr>
          <w:rFonts w:ascii="宋体" w:hAnsi="宋体" w:cs="宋体"/>
          <w:kern w:val="0"/>
          <w:sz w:val="24"/>
        </w:rPr>
        <w:t>http://jyzx.sanmen.gov.cn/</w:t>
      </w:r>
      <w:r>
        <w:rPr>
          <w:rFonts w:hint="eastAsia" w:ascii="宋体" w:hAnsi="宋体" w:cs="宋体"/>
          <w:kern w:val="0"/>
          <w:sz w:val="24"/>
        </w:rPr>
        <w:t>）。</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ind w:right="0" w:firstLine="482" w:firstLineChars="200"/>
        <w:rPr>
          <w:rFonts w:cs="宋体"/>
          <w:bCs/>
          <w:sz w:val="24"/>
          <w:szCs w:val="24"/>
        </w:rPr>
      </w:pPr>
      <w:bookmarkStart w:id="22" w:name="_Toc35393626"/>
      <w:bookmarkStart w:id="23" w:name="_Toc35393795"/>
      <w:r>
        <w:rPr>
          <w:rFonts w:hint="eastAsia" w:cs="宋体"/>
          <w:bCs/>
          <w:sz w:val="24"/>
          <w:szCs w:val="24"/>
        </w:rPr>
        <w:t>六、</w:t>
      </w:r>
      <w:bookmarkEnd w:id="22"/>
      <w:bookmarkEnd w:id="23"/>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ind w:right="0" w:firstLine="482" w:firstLineChars="200"/>
        <w:rPr>
          <w:rFonts w:cs="宋体"/>
          <w:bCs/>
          <w:sz w:val="24"/>
          <w:szCs w:val="24"/>
        </w:rPr>
      </w:pPr>
      <w:bookmarkStart w:id="24" w:name="_Toc28359085"/>
      <w:bookmarkStart w:id="25" w:name="_Toc28359008"/>
      <w:bookmarkStart w:id="26" w:name="_Toc35393627"/>
      <w:bookmarkStart w:id="27" w:name="_Toc35393796"/>
      <w:r>
        <w:rPr>
          <w:rFonts w:hint="eastAsia" w:cs="宋体"/>
          <w:bCs/>
          <w:sz w:val="24"/>
          <w:szCs w:val="24"/>
        </w:rPr>
        <w:t>七、</w:t>
      </w:r>
      <w:bookmarkEnd w:id="24"/>
      <w:bookmarkEnd w:id="25"/>
      <w:bookmarkEnd w:id="26"/>
      <w:bookmarkEnd w:id="27"/>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三门县人民</w:t>
      </w:r>
      <w:r>
        <w:rPr>
          <w:rFonts w:ascii="宋体" w:hAnsi="宋体" w:cs="宋体"/>
          <w:sz w:val="24"/>
          <w:u w:val="single"/>
        </w:rPr>
        <w:t>检察院</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三门县滨海大道6号</w:t>
      </w:r>
    </w:p>
    <w:p>
      <w:pPr>
        <w:spacing w:line="360" w:lineRule="auto"/>
        <w:ind w:firstLine="480" w:firstLineChars="200"/>
        <w:rPr>
          <w:rFonts w:ascii="宋体" w:hAnsi="宋体" w:cs="宋体"/>
          <w:sz w:val="24"/>
          <w:u w:val="single"/>
        </w:rPr>
      </w:pPr>
      <w:r>
        <w:rPr>
          <w:rFonts w:hint="eastAsia" w:ascii="宋体" w:hAnsi="宋体" w:cs="宋体"/>
          <w:sz w:val="24"/>
        </w:rPr>
        <w:t>联系人：</w:t>
      </w:r>
      <w:bookmarkStart w:id="28" w:name="_Toc28359086"/>
      <w:bookmarkStart w:id="29" w:name="_Toc28359009"/>
      <w:r>
        <w:rPr>
          <w:rFonts w:hint="eastAsia" w:ascii="宋体" w:hAnsi="宋体" w:cs="宋体"/>
          <w:sz w:val="24"/>
          <w:u w:val="single"/>
        </w:rPr>
        <w:t>赖朝辉</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13586195976</w:t>
      </w:r>
    </w:p>
    <w:bookmarkEnd w:id="28"/>
    <w:bookmarkEnd w:id="29"/>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ascii="宋体" w:hAnsi="宋体" w:cs="宋体"/>
          <w:sz w:val="24"/>
          <w:u w:val="single"/>
        </w:rPr>
      </w:pPr>
      <w:bookmarkStart w:id="30" w:name="_Toc28359010"/>
      <w:bookmarkStart w:id="31" w:name="_Toc28359087"/>
      <w:r>
        <w:rPr>
          <w:rFonts w:hint="eastAsia" w:ascii="宋体" w:hAnsi="宋体" w:cs="宋体"/>
          <w:sz w:val="24"/>
        </w:rPr>
        <w:t>名 称：</w:t>
      </w:r>
      <w:r>
        <w:rPr>
          <w:rFonts w:hint="eastAsia" w:ascii="宋体" w:hAnsi="宋体" w:cs="宋体"/>
          <w:sz w:val="24"/>
          <w:u w:val="single"/>
        </w:rPr>
        <w:t>三门县公共</w:t>
      </w:r>
      <w:r>
        <w:rPr>
          <w:rFonts w:ascii="宋体" w:hAnsi="宋体" w:cs="宋体"/>
          <w:sz w:val="24"/>
          <w:u w:val="single"/>
        </w:rPr>
        <w:t>资源交易中心</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三门县海游</w:t>
      </w:r>
      <w:r>
        <w:rPr>
          <w:rFonts w:ascii="宋体" w:hAnsi="宋体" w:cs="宋体"/>
          <w:sz w:val="24"/>
          <w:u w:val="single"/>
        </w:rPr>
        <w:t>街道广场路</w:t>
      </w:r>
      <w:r>
        <w:rPr>
          <w:rFonts w:hint="eastAsia" w:ascii="宋体" w:hAnsi="宋体" w:cs="宋体"/>
          <w:sz w:val="24"/>
          <w:u w:val="single"/>
        </w:rPr>
        <w:t>22号交通</w:t>
      </w:r>
      <w:r>
        <w:rPr>
          <w:rFonts w:ascii="宋体" w:hAnsi="宋体" w:cs="宋体"/>
          <w:sz w:val="24"/>
          <w:u w:val="single"/>
        </w:rPr>
        <w:t>大楼</w:t>
      </w:r>
      <w:r>
        <w:rPr>
          <w:rFonts w:hint="eastAsia" w:ascii="宋体" w:hAnsi="宋体" w:cs="宋体"/>
          <w:sz w:val="24"/>
          <w:u w:val="single"/>
        </w:rPr>
        <w:t>四楼</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张宁</w:t>
      </w:r>
      <w:r>
        <w:rPr>
          <w:rFonts w:ascii="宋体" w:hAnsi="宋体" w:cs="宋体"/>
          <w:sz w:val="24"/>
          <w:u w:val="single"/>
        </w:rPr>
        <w:t>童</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83326608</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张宁</w:t>
      </w:r>
      <w:r>
        <w:rPr>
          <w:rFonts w:ascii="宋体" w:hAnsi="宋体" w:cs="宋体"/>
          <w:sz w:val="24"/>
          <w:u w:val="single"/>
        </w:rPr>
        <w:t>童</w:t>
      </w:r>
      <w:r>
        <w:rPr>
          <w:rFonts w:hint="eastAsia" w:ascii="宋体" w:hAnsi="宋体" w:cs="宋体"/>
          <w:sz w:val="24"/>
          <w:u w:val="single"/>
        </w:rPr>
        <w:t>（受理注册、中标结果相关质疑及答复）</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83326608</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三门县财政局</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83305830</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400</w:t>
      </w:r>
      <w:r>
        <w:rPr>
          <w:rFonts w:ascii="宋体" w:hAnsi="宋体" w:cs="宋体"/>
          <w:sz w:val="24"/>
          <w:u w:val="single"/>
        </w:rPr>
        <w:t>-</w:t>
      </w:r>
      <w:r>
        <w:rPr>
          <w:rFonts w:hint="eastAsia" w:ascii="宋体" w:hAnsi="宋体" w:cs="宋体"/>
          <w:sz w:val="24"/>
          <w:u w:val="single"/>
        </w:rPr>
        <w:t>881</w:t>
      </w:r>
      <w:r>
        <w:rPr>
          <w:rFonts w:ascii="宋体" w:hAnsi="宋体" w:cs="宋体"/>
          <w:sz w:val="24"/>
          <w:u w:val="single"/>
        </w:rPr>
        <w:t>-</w:t>
      </w:r>
      <w:r>
        <w:rPr>
          <w:rFonts w:hint="eastAsia" w:ascii="宋体" w:hAnsi="宋体" w:cs="宋体"/>
          <w:sz w:val="24"/>
          <w:u w:val="single"/>
        </w:rPr>
        <w:t xml:space="preserve">7190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hint="eastAsia" w:ascii="宋体" w:hAnsi="宋体" w:cs="宋体"/>
          <w:sz w:val="24"/>
          <w:shd w:val="clear" w:color="auto" w:fill="FFFFFF"/>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rPr>
        <w:t>三门县公共</w:t>
      </w:r>
      <w:r>
        <w:rPr>
          <w:rFonts w:ascii="宋体" w:hAnsi="宋体" w:cs="宋体"/>
          <w:sz w:val="24"/>
          <w:shd w:val="clear" w:color="auto" w:fill="FFFFFF"/>
        </w:rPr>
        <w:t>资源</w:t>
      </w:r>
      <w:r>
        <w:rPr>
          <w:rFonts w:hint="eastAsia" w:ascii="宋体" w:hAnsi="宋体" w:cs="宋体"/>
          <w:sz w:val="24"/>
          <w:shd w:val="clear" w:color="auto" w:fill="FFFFFF"/>
        </w:rPr>
        <w:t>交易</w:t>
      </w:r>
      <w:r>
        <w:rPr>
          <w:rFonts w:ascii="宋体" w:hAnsi="宋体" w:cs="宋体"/>
          <w:sz w:val="24"/>
          <w:shd w:val="clear" w:color="auto" w:fill="FFFFFF"/>
        </w:rPr>
        <w:t>中心</w:t>
      </w:r>
      <w:r>
        <w:rPr>
          <w:rFonts w:hint="eastAsia" w:ascii="宋体" w:hAnsi="宋体" w:cs="宋体"/>
          <w:kern w:val="0"/>
          <w:sz w:val="24"/>
        </w:rPr>
        <w:t xml:space="preserve"> </w:t>
      </w:r>
    </w:p>
    <w:p>
      <w:pPr>
        <w:widowControl/>
        <w:spacing w:line="360" w:lineRule="auto"/>
        <w:ind w:firstLine="200"/>
        <w:jc w:val="right"/>
      </w:pPr>
      <w:r>
        <w:rPr>
          <w:rFonts w:hint="eastAsia" w:ascii="宋体" w:hAnsi="宋体" w:cs="宋体"/>
          <w:kern w:val="0"/>
          <w:sz w:val="24"/>
        </w:rPr>
        <w:t xml:space="preserve">                                                      </w:t>
      </w:r>
      <w:r>
        <w:rPr>
          <w:rFonts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rPr>
        <w:t>2年</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月8日</w:t>
      </w:r>
    </w:p>
    <w:bookmarkEnd w:id="30"/>
    <w:bookmarkEnd w:id="31"/>
    <w:p>
      <w:pPr>
        <w:pStyle w:val="3"/>
      </w:pPr>
      <w:bookmarkStart w:id="32" w:name="_Toc18866"/>
      <w:r>
        <w:rPr>
          <w:rFonts w:hint="eastAsia"/>
        </w:rPr>
        <w:t>投标人须知</w:t>
      </w:r>
      <w:bookmarkEnd w:id="32"/>
    </w:p>
    <w:p>
      <w:pPr>
        <w:numPr>
          <w:ilvl w:val="0"/>
          <w:numId w:val="3"/>
        </w:numPr>
        <w:ind w:firstLine="482" w:firstLineChars="200"/>
      </w:pPr>
      <w:r>
        <w:rPr>
          <w:rFonts w:hint="eastAsia" w:asciiTheme="minorEastAsia" w:hAnsiTheme="minorEastAsia" w:eastAsiaTheme="minorEastAsia"/>
          <w:b/>
          <w:sz w:val="24"/>
        </w:rPr>
        <w:t>前附表</w:t>
      </w:r>
    </w:p>
    <w:tbl>
      <w:tblPr>
        <w:tblStyle w:val="20"/>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b/>
                <w:bCs/>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是/</w:t>
            </w:r>
            <w:r>
              <w:rPr>
                <w:rFonts w:hint="eastAsia" w:ascii="宋体" w:hAnsi="Wingdings 2"/>
                <w:sz w:val="28"/>
                <w:szCs w:val="28"/>
              </w:rPr>
              <w:sym w:font="Wingdings 2" w:char="F052"/>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□是（但主体部分不得分包，详见招标需求内容）/</w:t>
            </w:r>
            <w:r>
              <w:rPr>
                <w:rFonts w:hint="eastAsia" w:ascii="宋体" w:hAnsi="Wingdings 2"/>
                <w:sz w:val="28"/>
                <w:szCs w:val="28"/>
              </w:rPr>
              <w:sym w:font="Wingdings 2" w:char="F052"/>
            </w:r>
            <w:r>
              <w:rPr>
                <w:rFonts w:hint="eastAsia" w:ascii="宋体" w:hAnsi="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具体时间和地点/无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2.投标：投标人应当在投标截止时间前（开标当天北京时间</w:t>
            </w:r>
            <w:r>
              <w:rPr>
                <w:rFonts w:ascii="宋体" w:hAnsi="宋体" w:cs="宋体"/>
                <w:u w:val="single"/>
              </w:rPr>
              <w:t>09</w:t>
            </w:r>
            <w:r>
              <w:rPr>
                <w:rFonts w:hint="eastAsia" w:ascii="宋体" w:hAnsi="宋体" w:cs="宋体"/>
                <w:u w:val="single"/>
              </w:rPr>
              <w:t>:</w:t>
            </w:r>
            <w:r>
              <w:rPr>
                <w:rFonts w:ascii="宋体" w:hAnsi="宋体" w:cs="宋体"/>
                <w:u w:val="single"/>
              </w:rPr>
              <w:t>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rPr>
            </w:pPr>
            <w:r>
              <w:rPr>
                <w:rFonts w:hint="eastAsia" w:ascii="宋体" w:hAnsi="宋体" w:cs="宋体"/>
              </w:rPr>
              <w:t>3.投标文件解密：投标人应在开标当天北京时间</w:t>
            </w:r>
            <w:r>
              <w:rPr>
                <w:rFonts w:ascii="宋体" w:hAnsi="宋体" w:cs="宋体"/>
                <w:u w:val="single"/>
              </w:rPr>
              <w:t>09</w:t>
            </w:r>
            <w:r>
              <w:rPr>
                <w:rFonts w:hint="eastAsia" w:ascii="宋体" w:hAnsi="宋体" w:cs="宋体"/>
                <w:u w:val="single"/>
              </w:rPr>
              <w:t>:</w:t>
            </w:r>
            <w:r>
              <w:rPr>
                <w:rFonts w:ascii="宋体" w:hAnsi="宋体" w:cs="宋体"/>
                <w:u w:val="single"/>
              </w:rPr>
              <w:t>00</w:t>
            </w:r>
            <w:r>
              <w:rPr>
                <w:rFonts w:hint="eastAsia" w:ascii="宋体" w:hAnsi="宋体" w:cs="宋体"/>
              </w:rPr>
              <w:t>至</w:t>
            </w:r>
            <w:r>
              <w:rPr>
                <w:rFonts w:ascii="宋体" w:hAnsi="宋体" w:cs="宋体"/>
                <w:u w:val="single"/>
              </w:rPr>
              <w:t>09</w:t>
            </w:r>
            <w:r>
              <w:rPr>
                <w:rFonts w:hint="eastAsia" w:ascii="宋体" w:hAnsi="宋体" w:cs="宋体"/>
                <w:u w:val="single"/>
              </w:rPr>
              <w:t>:</w:t>
            </w:r>
            <w:r>
              <w:rPr>
                <w:rFonts w:ascii="宋体" w:hAnsi="宋体" w:cs="宋体"/>
                <w:u w:val="single"/>
              </w:rPr>
              <w:t>30</w:t>
            </w:r>
            <w:r>
              <w:rPr>
                <w:rFonts w:hint="eastAsia" w:ascii="宋体" w:hAnsi="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2.递交截止时间：开标当天</w:t>
            </w:r>
            <w:r>
              <w:rPr>
                <w:rFonts w:ascii="宋体" w:hAnsi="宋体" w:cs="宋体"/>
                <w:u w:val="single"/>
              </w:rPr>
              <w:t>09</w:t>
            </w:r>
            <w:r>
              <w:rPr>
                <w:rFonts w:hint="eastAsia" w:ascii="宋体" w:hAnsi="宋体" w:cs="宋体"/>
                <w:u w:val="single"/>
              </w:rPr>
              <w:t>:</w:t>
            </w:r>
            <w:r>
              <w:rPr>
                <w:rFonts w:ascii="宋体" w:hAnsi="宋体" w:cs="宋体"/>
                <w:u w:val="single"/>
              </w:rPr>
              <w:t>30</w:t>
            </w:r>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3.投递邮箱：开标当天公布的指定邮箱。</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rPr>
            </w:pPr>
            <w:r>
              <w:rPr>
                <w:rFonts w:hint="eastAsia" w:ascii="宋体" w:hAnsi="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pPr>
              <w:spacing w:line="300" w:lineRule="auto"/>
              <w:ind w:firstLine="420" w:firstLineChars="200"/>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中小企业预留</w:t>
            </w:r>
          </w:p>
          <w:p>
            <w:pPr>
              <w:spacing w:line="300" w:lineRule="auto"/>
              <w:jc w:val="center"/>
              <w:rPr>
                <w:rFonts w:ascii="宋体" w:hAnsi="宋体" w:cs="宋体"/>
              </w:rPr>
            </w:pPr>
            <w:r>
              <w:rPr>
                <w:rFonts w:hint="eastAsia" w:ascii="宋体" w:hAnsi="宋体" w:cs="宋体"/>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根据《政府采购促进中小企业发展管理办法》财库〔2020〕46号文件的规定，本项目(□是 /</w:t>
            </w:r>
            <w:r>
              <w:rPr>
                <w:rFonts w:hint="eastAsia" w:ascii="宋体" w:hAnsi="Wingdings 2"/>
                <w:sz w:val="28"/>
                <w:szCs w:val="28"/>
              </w:rPr>
              <w:sym w:font="Wingdings 2" w:char="F052"/>
            </w:r>
            <w:r>
              <w:rPr>
                <w:rFonts w:hint="eastAsia" w:ascii="宋体" w:hAnsi="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中小企业</w:t>
            </w:r>
          </w:p>
          <w:p>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1.项目属性（服务类）</w:t>
            </w:r>
          </w:p>
          <w:p>
            <w:pPr>
              <w:spacing w:line="300" w:lineRule="auto"/>
              <w:ind w:firstLine="420" w:firstLineChars="200"/>
              <w:rPr>
                <w:rFonts w:ascii="宋体" w:hAnsi="宋体" w:cs="宋体"/>
              </w:rPr>
            </w:pPr>
            <w:r>
              <w:rPr>
                <w:rFonts w:hint="eastAsia" w:ascii="宋体" w:hAnsi="宋体" w:cs="宋体"/>
              </w:rPr>
              <w:t>2.中小企业划分标准所属行业（具体根据《中小企业划型标准规定》执行）。</w:t>
            </w:r>
          </w:p>
          <w:p>
            <w:pPr>
              <w:spacing w:line="300" w:lineRule="auto"/>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asciiTheme="minorEastAsia" w:hAnsiTheme="minorEastAsia" w:eastAsiaTheme="minorEastAsia" w:cstheme="minorEastAsia"/>
                <w:szCs w:val="21"/>
                <w:u w:val="single"/>
              </w:rPr>
              <w:t>物业服务</w:t>
            </w:r>
            <w:r>
              <w:rPr>
                <w:rFonts w:hint="eastAsia" w:cs="Arial" w:asciiTheme="minorEastAsia" w:hAnsiTheme="minorEastAsia" w:eastAsiaTheme="minorEastAsia"/>
                <w:szCs w:val="21"/>
              </w:rPr>
              <w:t>，所属行业：</w:t>
            </w:r>
            <w:r>
              <w:rPr>
                <w:rFonts w:hint="eastAsia" w:asciiTheme="minorEastAsia" w:hAnsiTheme="minorEastAsia" w:eastAsiaTheme="minorEastAsia" w:cstheme="minorEastAsia"/>
                <w:szCs w:val="21"/>
                <w:u w:val="single"/>
              </w:rPr>
              <w:t>物业管理</w:t>
            </w:r>
            <w:r>
              <w:rPr>
                <w:rFonts w:hint="eastAsia" w:cs="Arial" w:asciiTheme="minorEastAsia" w:hAnsiTheme="minorEastAsia" w:eastAsiaTheme="minorEastAsia"/>
                <w:szCs w:val="21"/>
              </w:rPr>
              <w:t>。</w:t>
            </w:r>
          </w:p>
          <w:p>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ind w:firstLine="420" w:firstLineChars="200"/>
              <w:rPr>
                <w:rFonts w:ascii="宋体" w:hAnsi="宋体" w:cs="宋体"/>
              </w:rPr>
            </w:pPr>
            <w:r>
              <w:rPr>
                <w:rFonts w:hint="eastAsia" w:ascii="宋体" w:hAnsi="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本招标文件解释权属于采购人和采购组织机构。</w:t>
            </w:r>
          </w:p>
        </w:tc>
      </w:tr>
    </w:tbl>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二、说明</w:t>
      </w:r>
    </w:p>
    <w:p>
      <w:pPr>
        <w:pStyle w:val="11"/>
        <w:numPr>
          <w:ilvl w:val="0"/>
          <w:numId w:val="4"/>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4"/>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8"/>
        <w:spacing w:line="360" w:lineRule="auto"/>
        <w:ind w:firstLine="480" w:firstLineChars="200"/>
      </w:pPr>
      <w:r>
        <w:t>本招标文件仅适用于本次招标公告中所涉及的项目和内容。</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0"/>
        <w:snapToGrid w:val="0"/>
        <w:spacing w:line="360" w:lineRule="auto"/>
        <w:ind w:firstLine="482" w:firstLineChars="200"/>
        <w:rPr>
          <w:rFonts w:hAnsi="宋体"/>
          <w:b/>
          <w:sz w:val="24"/>
        </w:rPr>
      </w:pPr>
      <w:r>
        <w:rPr>
          <w:rFonts w:hint="eastAsia" w:hAnsi="宋体"/>
          <w:b/>
          <w:sz w:val="24"/>
        </w:rPr>
        <w:t>（七）特别说明</w:t>
      </w:r>
    </w:p>
    <w:p>
      <w:pPr>
        <w:pStyle w:val="1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6"/>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6"/>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2"/>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2"/>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（2）授权委托书（法定代表人亲自办理投标事宜的，则无需提交)；</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（3）联合体授权委托书及联合体声明、协议（若项目接受联合体投标时需提供）；</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（4）法人或者其他组织的营业执照等证明文件，自然人的身份证明；</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（5）符合参与政府采购活动的资格条件并且没有税收缴纳、社会保障等方面的失信记录的承诺函；</w:t>
      </w:r>
    </w:p>
    <w:p>
      <w:pPr>
        <w:pStyle w:val="19"/>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（6）提供投标截止日前6个月内任意1个月依法缴纳税收和社会保障资金的相关材料。如依法免税或不需要缴纳社会保障资金的，提供相应证明材料（以联合体形式投标时，联合体各方均须满足该条款）。</w:t>
      </w:r>
    </w:p>
    <w:p>
      <w:pPr>
        <w:pStyle w:val="19"/>
        <w:spacing w:after="0" w:line="360" w:lineRule="auto"/>
        <w:ind w:left="0" w:leftChars="0" w:firstLine="480" w:firstLineChars="200"/>
      </w:pPr>
      <w:r>
        <w:rPr>
          <w:rFonts w:hint="eastAsia" w:asciiTheme="minorEastAsia" w:hAnsiTheme="minorEastAsia" w:eastAsiaTheme="minorEastAsia"/>
          <w:kern w:val="0"/>
          <w:sz w:val="24"/>
          <w:szCs w:val="20"/>
        </w:rPr>
        <w:t>（7）提供上一年度财务状况报告或基本开户行出具的资信证明（以联合体形式投标时，联合体各方均须满足该条款）。</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8</w:t>
      </w:r>
      <w:r>
        <w:rPr>
          <w:rFonts w:hint="eastAsia" w:asciiTheme="minorEastAsia" w:hAnsiTheme="minorEastAsia" w:eastAsiaTheme="minorEastAsia"/>
          <w:kern w:val="0"/>
          <w:sz w:val="24"/>
          <w:szCs w:val="20"/>
        </w:rPr>
        <w:t>）具备履行合同所必需的设备和专业技术能力的证明材料(根据项目性质提供)；</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9</w:t>
      </w:r>
      <w:r>
        <w:rPr>
          <w:rFonts w:hint="eastAsia" w:asciiTheme="minorEastAsia" w:hAnsiTheme="minorEastAsia" w:eastAsiaTheme="minorEastAsia"/>
          <w:kern w:val="0"/>
          <w:sz w:val="24"/>
          <w:szCs w:val="20"/>
        </w:rPr>
        <w:t>）提供采购公告中符合供应商特定条件的有效资质证书扫描件以及需要说明的其他资料。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b/>
          <w:bCs/>
        </w:rPr>
      </w:pPr>
      <w:r>
        <w:rPr>
          <w:rFonts w:hint="eastAsia" w:asciiTheme="minorEastAsia" w:hAnsiTheme="minorEastAsia" w:eastAsiaTheme="minorEastAsia"/>
          <w:b/>
          <w:bCs/>
          <w:color w:val="000000" w:themeColor="text1"/>
          <w:kern w:val="0"/>
          <w:sz w:val="24"/>
          <w14:textFill>
            <w14:solidFill>
              <w14:schemeClr w14:val="tx1"/>
            </w14:solidFill>
          </w14:textFill>
        </w:rPr>
        <w:t>（1）</w:t>
      </w:r>
      <w:r>
        <w:rPr>
          <w:rFonts w:hint="eastAsia"/>
          <w:b/>
          <w:bCs/>
          <w:color w:val="000000" w:themeColor="text1"/>
          <w:sz w:val="24"/>
          <w14:textFill>
            <w14:solidFill>
              <w14:schemeClr w14:val="tx1"/>
            </w14:solidFill>
          </w14:textFill>
        </w:rPr>
        <w:t>技术方案描述</w:t>
      </w:r>
      <w:r>
        <w:rPr>
          <w:rFonts w:hint="eastAsia"/>
          <w:b/>
          <w:bCs/>
          <w:sz w:val="24"/>
        </w:rPr>
        <w:t>部分</w:t>
      </w:r>
    </w:p>
    <w:p>
      <w:pPr>
        <w:pStyle w:val="2"/>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投标人情况介绍（人员与技术力量、经营业绩等）；</w:t>
      </w:r>
    </w:p>
    <w:p>
      <w:pPr>
        <w:pStyle w:val="2"/>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2"/>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总体设计（技术、服务）方案；</w:t>
      </w:r>
    </w:p>
    <w:p>
      <w:pPr>
        <w:pStyle w:val="2"/>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功能设计方案；</w:t>
      </w:r>
    </w:p>
    <w:p>
      <w:pPr>
        <w:pStyle w:val="2"/>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质量保证方案；</w:t>
      </w:r>
    </w:p>
    <w:p>
      <w:pPr>
        <w:pStyle w:val="2"/>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项目实施方案（包括项目工期、确保项目进行的措施或方案、项目实施进度安排、项目实施人员及项目负责人的资质、类似经验及社保证明等）；</w:t>
      </w:r>
    </w:p>
    <w:p>
      <w:pPr>
        <w:pStyle w:val="2"/>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技术需求响应表；</w:t>
      </w:r>
    </w:p>
    <w:p>
      <w:pPr>
        <w:pStyle w:val="2"/>
        <w:widowControl/>
        <w:numPr>
          <w:ilvl w:val="0"/>
          <w:numId w:val="5"/>
        </w:numPr>
        <w:adjustRightInd w:val="0"/>
        <w:snapToGrid w:val="0"/>
        <w:spacing w:line="360" w:lineRule="auto"/>
        <w:ind w:firstLine="640"/>
        <w:rPr>
          <w:rFonts w:ascii="Calibri" w:hAnsi="Calibri" w:cs="Calibri"/>
          <w:sz w:val="24"/>
          <w:szCs w:val="24"/>
        </w:rPr>
      </w:pPr>
      <w:r>
        <w:rPr>
          <w:rFonts w:hint="eastAsia" w:ascii="Calibri" w:hAnsi="Calibri" w:cs="Calibri"/>
          <w:sz w:val="24"/>
          <w:szCs w:val="24"/>
        </w:rPr>
        <w:t>项目实施人员一览表；</w:t>
      </w:r>
    </w:p>
    <w:p>
      <w:pPr>
        <w:numPr>
          <w:ilvl w:val="0"/>
          <w:numId w:val="5"/>
        </w:numPr>
        <w:spacing w:line="360" w:lineRule="auto"/>
        <w:ind w:firstLine="640"/>
        <w:rPr>
          <w:rFonts w:ascii="Calibri" w:hAnsi="Calibri" w:cs="Calibri"/>
          <w:sz w:val="24"/>
        </w:rPr>
      </w:pPr>
      <w:r>
        <w:rPr>
          <w:rFonts w:hint="eastAsia" w:ascii="Calibri" w:hAnsi="Calibri" w:cs="Calibri"/>
          <w:sz w:val="24"/>
        </w:rPr>
        <w:t>工程量/原材料、人工费清单（均不含报价）；</w:t>
      </w:r>
    </w:p>
    <w:p>
      <w:pPr>
        <w:numPr>
          <w:ilvl w:val="0"/>
          <w:numId w:val="5"/>
        </w:numPr>
        <w:spacing w:line="360" w:lineRule="auto"/>
        <w:ind w:firstLine="640"/>
        <w:rPr>
          <w:rFonts w:ascii="Calibri" w:hAnsi="Calibri" w:cs="Calibri"/>
          <w:sz w:val="24"/>
        </w:rPr>
      </w:pPr>
      <w:r>
        <w:rPr>
          <w:rFonts w:hint="eastAsia" w:ascii="Calibri" w:hAnsi="Calibri" w:cs="Calibri"/>
          <w:sz w:val="24"/>
        </w:rPr>
        <w:t>项目负责人资格情况表；</w:t>
      </w:r>
    </w:p>
    <w:p>
      <w:pPr>
        <w:numPr>
          <w:ilvl w:val="0"/>
          <w:numId w:val="5"/>
        </w:numPr>
        <w:spacing w:line="360" w:lineRule="auto"/>
        <w:ind w:firstLine="640"/>
        <w:rPr>
          <w:rFonts w:ascii="Calibri" w:hAnsi="Calibri" w:cs="Calibri"/>
          <w:sz w:val="24"/>
        </w:rPr>
      </w:pPr>
      <w:r>
        <w:rPr>
          <w:rFonts w:hint="eastAsia" w:ascii="Calibri" w:hAnsi="Calibri" w:cs="Calibri"/>
          <w:sz w:val="24"/>
        </w:rPr>
        <w:t>安装、调试及验收方案（包括项目验收标准和验收方法等）；</w:t>
      </w:r>
    </w:p>
    <w:p>
      <w:pPr>
        <w:numPr>
          <w:ilvl w:val="0"/>
          <w:numId w:val="5"/>
        </w:numPr>
        <w:spacing w:line="360" w:lineRule="auto"/>
        <w:ind w:firstLine="640"/>
        <w:rPr>
          <w:rFonts w:ascii="Calibri" w:hAnsi="Calibri" w:cs="Calibri"/>
          <w:sz w:val="24"/>
        </w:rPr>
      </w:pPr>
      <w:r>
        <w:rPr>
          <w:rFonts w:hint="eastAsia" w:ascii="Calibri" w:hAnsi="Calibri" w:cs="Calibri"/>
          <w:sz w:val="24"/>
        </w:rPr>
        <w:t>实施服务与保障的能力及方案（包括服务方式、服务网点、技术培训、实施期与运维期服务的内容和措施等）；</w:t>
      </w:r>
    </w:p>
    <w:p>
      <w:pPr>
        <w:numPr>
          <w:ilvl w:val="0"/>
          <w:numId w:val="5"/>
        </w:numPr>
        <w:spacing w:line="360" w:lineRule="auto"/>
        <w:ind w:firstLine="640"/>
        <w:rPr>
          <w:sz w:val="24"/>
        </w:rPr>
      </w:pPr>
      <w:r>
        <w:rPr>
          <w:rFonts w:hint="eastAsia"/>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asciiTheme="minorEastAsia" w:hAnsiTheme="minorEastAsia" w:eastAsiaTheme="minorEastAsia"/>
          <w:b/>
          <w:bCs/>
          <w:color w:val="000000" w:themeColor="text1"/>
          <w:kern w:val="0"/>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6"/>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2"/>
        <w:widowControl/>
        <w:numPr>
          <w:ilvl w:val="0"/>
          <w:numId w:val="6"/>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2"/>
        <w:widowControl/>
        <w:numPr>
          <w:ilvl w:val="0"/>
          <w:numId w:val="6"/>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lang w:val="en-GB"/>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2"/>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2"/>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2"/>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2"/>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2"/>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2"/>
        <w:spacing w:line="360" w:lineRule="auto"/>
        <w:ind w:firstLine="482" w:firstLineChars="200"/>
        <w:rPr>
          <w:b/>
          <w:bCs/>
          <w:sz w:val="24"/>
          <w:szCs w:val="22"/>
        </w:rPr>
      </w:pPr>
      <w:r>
        <w:rPr>
          <w:rFonts w:hint="eastAsia"/>
          <w:b/>
          <w:bCs/>
          <w:sz w:val="24"/>
          <w:szCs w:val="22"/>
        </w:rPr>
        <w:t>（二）开标异议</w:t>
      </w:r>
    </w:p>
    <w:p>
      <w:pPr>
        <w:pStyle w:val="2"/>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2"/>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0"/>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rPr>
        <w:t>五、评标（详见第四章）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 1 个工作日</w:t>
      </w:r>
      <w:r>
        <w:rPr>
          <w:rFonts w:hint="eastAsia" w:ascii="宋体" w:hAnsi="宋体"/>
          <w:kern w:val="0"/>
          <w:sz w:val="24"/>
        </w:rPr>
        <w:t>。</w:t>
      </w:r>
    </w:p>
    <w:p>
      <w:pPr>
        <w:pStyle w:val="7"/>
        <w:spacing w:line="360" w:lineRule="auto"/>
        <w:ind w:firstLine="480" w:firstLineChars="200"/>
        <w:jc w:val="both"/>
      </w:pPr>
      <w:r>
        <w:rPr>
          <w:rFonts w:hint="eastAsia" w:ascii="宋体" w:hAnsi="宋体"/>
          <w:kern w:val="0"/>
          <w:sz w:val="24"/>
        </w:rPr>
        <w:t>（三）</w:t>
      </w:r>
      <w:r>
        <w:rPr>
          <w:rFonts w:hint="eastAsia"/>
          <w:sz w:val="24"/>
        </w:rPr>
        <w:t>发放中标通知书</w:t>
      </w: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2.采购人不得向中标人提出任何不合理的要求作为签订合同的条件。</w:t>
      </w:r>
    </w:p>
    <w:p>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9"/>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7"/>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7"/>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7"/>
        <w:spacing w:line="360" w:lineRule="auto"/>
        <w:ind w:firstLine="482" w:firstLineChars="200"/>
        <w:jc w:val="both"/>
        <w:rPr>
          <w:rFonts w:ascii="宋体" w:hAnsi="宋体"/>
          <w:b/>
          <w:bCs/>
          <w:sz w:val="24"/>
        </w:rPr>
      </w:pPr>
      <w:r>
        <w:rPr>
          <w:rFonts w:hint="eastAsia" w:ascii="宋体" w:hAnsi="宋体"/>
          <w:b/>
          <w:bCs/>
          <w:sz w:val="24"/>
        </w:rPr>
        <w:t>（一）询问</w:t>
      </w:r>
    </w:p>
    <w:p>
      <w:pPr>
        <w:pStyle w:val="7"/>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7"/>
        <w:spacing w:line="360" w:lineRule="auto"/>
        <w:ind w:firstLine="482" w:firstLineChars="200"/>
        <w:jc w:val="both"/>
        <w:rPr>
          <w:rFonts w:ascii="宋体" w:hAnsi="宋体"/>
          <w:b/>
          <w:bCs/>
          <w:sz w:val="24"/>
        </w:rPr>
      </w:pPr>
      <w:r>
        <w:rPr>
          <w:rFonts w:hint="eastAsia" w:ascii="宋体" w:hAnsi="宋体"/>
          <w:b/>
          <w:bCs/>
          <w:sz w:val="24"/>
        </w:rPr>
        <w:t>（二）质疑</w:t>
      </w:r>
    </w:p>
    <w:p>
      <w:pPr>
        <w:pStyle w:val="7"/>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7"/>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7"/>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7"/>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7"/>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7"/>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7"/>
        <w:spacing w:line="360" w:lineRule="auto"/>
        <w:ind w:firstLine="482" w:firstLineChars="200"/>
        <w:jc w:val="both"/>
        <w:rPr>
          <w:rFonts w:ascii="宋体" w:hAnsi="宋体"/>
          <w:b/>
          <w:bCs/>
          <w:sz w:val="24"/>
        </w:rPr>
      </w:pPr>
      <w:r>
        <w:rPr>
          <w:rFonts w:hint="eastAsia" w:ascii="宋体" w:hAnsi="宋体"/>
          <w:b/>
          <w:bCs/>
          <w:sz w:val="24"/>
        </w:rPr>
        <w:t>（三）投诉</w:t>
      </w:r>
    </w:p>
    <w:p>
      <w:pPr>
        <w:pStyle w:val="7"/>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after="0" w:line="360" w:lineRule="auto"/>
        <w:ind w:left="0" w:leftChars="0" w:firstLine="482" w:firstLineChars="200"/>
        <w:rPr>
          <w:rFonts w:ascii="宋体" w:hAnsi="宋体"/>
          <w:sz w:val="24"/>
        </w:rPr>
      </w:pPr>
      <w:r>
        <w:rPr>
          <w:rFonts w:hint="eastAsia" w:asciiTheme="minorEastAsia" w:hAnsiTheme="minorEastAsia" w:eastAsiaTheme="minorEastAsia"/>
          <w:b/>
          <w:sz w:val="24"/>
        </w:rPr>
        <w:t>九</w:t>
      </w:r>
      <w:r>
        <w:rPr>
          <w:rFonts w:asciiTheme="minorEastAsia" w:hAnsiTheme="minorEastAsia" w:eastAsiaTheme="minorEastAsia"/>
          <w:b/>
          <w:sz w:val="24"/>
        </w:rPr>
        <w:t>、</w:t>
      </w:r>
      <w:r>
        <w:rPr>
          <w:rFonts w:hint="eastAsia" w:ascii="宋体" w:hAnsi="宋体"/>
          <w:b/>
          <w:sz w:val="24"/>
        </w:rPr>
        <w:t>政府采购支持中小企业信用融资相关事项的通知</w:t>
      </w:r>
    </w:p>
    <w:p>
      <w:pPr>
        <w:spacing w:line="360" w:lineRule="auto"/>
        <w:ind w:firstLine="480" w:firstLineChars="200"/>
        <w:rPr>
          <w:rFonts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20"/>
        <w:tblW w:w="0" w:type="auto"/>
        <w:tblInd w:w="0" w:type="dxa"/>
        <w:tblLayout w:type="fixed"/>
        <w:tblCellMar>
          <w:top w:w="15" w:type="dxa"/>
          <w:left w:w="15" w:type="dxa"/>
          <w:bottom w:w="15" w:type="dxa"/>
          <w:right w:w="15" w:type="dxa"/>
        </w:tblCellMar>
      </w:tblPr>
      <w:tblGrid>
        <w:gridCol w:w="793"/>
        <w:gridCol w:w="1380"/>
        <w:gridCol w:w="2237"/>
        <w:gridCol w:w="1842"/>
        <w:gridCol w:w="2403"/>
      </w:tblGrid>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 xml:space="preserve">   联系电话</w:t>
            </w:r>
          </w:p>
        </w:tc>
      </w:tr>
      <w:tr>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pPr>
        <w:widowControl/>
        <w:spacing w:line="360" w:lineRule="auto"/>
        <w:textAlignment w:val="center"/>
        <w:rPr>
          <w:rFonts w:ascii="宋体" w:hAnsi="宋体" w:cs="宋体"/>
          <w:b/>
          <w:color w:val="000000"/>
          <w:kern w:val="0"/>
          <w:sz w:val="22"/>
          <w:szCs w:val="22"/>
        </w:rPr>
      </w:pPr>
    </w:p>
    <w:p>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pPr>
        <w:pStyle w:val="3"/>
      </w:pPr>
      <w:bookmarkStart w:id="33" w:name="_Toc3378"/>
      <w:r>
        <w:rPr>
          <w:rFonts w:hint="eastAsia"/>
        </w:rPr>
        <w:t>招标需求</w:t>
      </w:r>
      <w:bookmarkEnd w:id="33"/>
    </w:p>
    <w:p>
      <w:pPr>
        <w:tabs>
          <w:tab w:val="left" w:pos="8280"/>
        </w:tabs>
        <w:autoSpaceDE w:val="0"/>
        <w:autoSpaceDN w:val="0"/>
        <w:adjustRightInd w:val="0"/>
        <w:spacing w:line="360" w:lineRule="auto"/>
        <w:ind w:right="25" w:firstLine="643"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1 </w:t>
      </w:r>
      <w:r>
        <w:rPr>
          <w:rFonts w:hint="eastAsia" w:asciiTheme="minorEastAsia" w:hAnsiTheme="minorEastAsia" w:eastAsiaTheme="minorEastAsia"/>
          <w:sz w:val="24"/>
        </w:rPr>
        <w:t>个标项，具体内容如下表：</w:t>
      </w:r>
    </w:p>
    <w:tbl>
      <w:tblPr>
        <w:tblStyle w:val="20"/>
        <w:tblpPr w:leftFromText="181" w:rightFromText="181" w:bottomFromText="170" w:vertAnchor="text" w:tblpXSpec="center" w:tblpY="1"/>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577"/>
        <w:gridCol w:w="708"/>
        <w:gridCol w:w="709"/>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577"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708"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70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34"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76"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c>
          <w:tcPr>
            <w:tcW w:w="1276"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三门县</w:t>
            </w:r>
            <w:r>
              <w:rPr>
                <w:rFonts w:ascii="宋体" w:hAnsi="宋体" w:cs="宋体"/>
                <w:b/>
                <w:szCs w:val="21"/>
              </w:rPr>
              <w:t>人民检察院物业管理服务采购</w:t>
            </w:r>
          </w:p>
        </w:tc>
        <w:tc>
          <w:tcPr>
            <w:tcW w:w="1577"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708"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70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项</w:t>
            </w:r>
          </w:p>
        </w:tc>
        <w:tc>
          <w:tcPr>
            <w:tcW w:w="1134"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315</w:t>
            </w:r>
          </w:p>
        </w:tc>
        <w:tc>
          <w:tcPr>
            <w:tcW w:w="1276"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315</w:t>
            </w:r>
          </w:p>
        </w:tc>
        <w:tc>
          <w:tcPr>
            <w:tcW w:w="1276"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3年</w:t>
            </w:r>
          </w:p>
        </w:tc>
      </w:tr>
    </w:tbl>
    <w:p>
      <w:pPr>
        <w:numPr>
          <w:ilvl w:val="0"/>
          <w:numId w:val="3"/>
        </w:numPr>
        <w:tabs>
          <w:tab w:val="left" w:pos="8280"/>
        </w:tabs>
        <w:autoSpaceDE w:val="0"/>
        <w:autoSpaceDN w:val="0"/>
        <w:adjustRightInd w:val="0"/>
        <w:spacing w:line="360" w:lineRule="auto"/>
        <w:ind w:right="25" w:firstLine="643" w:firstLineChars="200"/>
        <w:jc w:val="left"/>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技术需求</w:t>
      </w:r>
    </w:p>
    <w:p>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（一）项目概况</w:t>
      </w:r>
    </w:p>
    <w:p>
      <w:pPr>
        <w:tabs>
          <w:tab w:val="left" w:pos="8280"/>
        </w:tabs>
        <w:autoSpaceDE w:val="0"/>
        <w:autoSpaceDN w:val="0"/>
        <w:adjustRightInd w:val="0"/>
        <w:spacing w:line="360" w:lineRule="auto"/>
        <w:ind w:firstLine="360" w:firstLineChars="150"/>
        <w:rPr>
          <w:rFonts w:ascii="宋体" w:hAnsi="宋体" w:cs="宋体"/>
          <w:sz w:val="24"/>
        </w:rPr>
      </w:pPr>
      <w:r>
        <w:rPr>
          <w:rFonts w:hint="eastAsia" w:ascii="宋体" w:hAnsi="宋体" w:cs="宋体"/>
          <w:sz w:val="24"/>
        </w:rPr>
        <w:t>本次招标的内容为三门县人民检察院物业管理服务采购项目，服务期为</w:t>
      </w:r>
      <w:r>
        <w:rPr>
          <w:rFonts w:hint="eastAsia" w:ascii="宋体" w:hAnsi="宋体" w:cs="宋体"/>
          <w:color w:val="000000"/>
          <w:sz w:val="24"/>
        </w:rPr>
        <w:t>3年，服务时间为</w:t>
      </w:r>
      <w:r>
        <w:rPr>
          <w:rFonts w:hint="eastAsia" w:ascii="宋体" w:hAnsi="宋体" w:cs="宋体"/>
          <w:color w:val="000000" w:themeColor="text1"/>
          <w:sz w:val="24"/>
          <w14:textFill>
            <w14:solidFill>
              <w14:schemeClr w14:val="tx1"/>
            </w14:solidFill>
          </w14:textFill>
        </w:rPr>
        <w:t>合同签订后5天内</w:t>
      </w:r>
      <w:r>
        <w:rPr>
          <w:rFonts w:hint="eastAsia" w:ascii="宋体" w:hAnsi="宋体" w:cs="宋体"/>
          <w:sz w:val="24"/>
        </w:rPr>
        <w:t>；</w:t>
      </w:r>
    </w:p>
    <w:p>
      <w:pPr>
        <w:tabs>
          <w:tab w:val="left" w:pos="8280"/>
        </w:tabs>
        <w:autoSpaceDE w:val="0"/>
        <w:autoSpaceDN w:val="0"/>
        <w:adjustRightInd w:val="0"/>
        <w:spacing w:line="360" w:lineRule="auto"/>
        <w:ind w:firstLine="360" w:firstLineChars="150"/>
        <w:rPr>
          <w:rFonts w:ascii="宋体" w:hAnsi="宋体" w:cs="宋体"/>
          <w:sz w:val="24"/>
        </w:rPr>
      </w:pPr>
      <w:r>
        <w:rPr>
          <w:rFonts w:hint="eastAsia" w:ascii="宋体" w:hAnsi="宋体" w:cs="宋体"/>
          <w:sz w:val="24"/>
        </w:rPr>
        <w:t>物业类型：三门县人民检察院办公大楼、广场、附属建筑及北面庭院；</w:t>
      </w:r>
    </w:p>
    <w:p>
      <w:pPr>
        <w:tabs>
          <w:tab w:val="left" w:pos="8280"/>
        </w:tabs>
        <w:autoSpaceDE w:val="0"/>
        <w:autoSpaceDN w:val="0"/>
        <w:adjustRightInd w:val="0"/>
        <w:spacing w:line="360" w:lineRule="auto"/>
        <w:ind w:firstLine="360" w:firstLineChars="150"/>
        <w:rPr>
          <w:rFonts w:ascii="宋体" w:hAnsi="宋体" w:cs="宋体"/>
          <w:sz w:val="24"/>
        </w:rPr>
      </w:pPr>
      <w:r>
        <w:rPr>
          <w:rFonts w:hint="eastAsia" w:ascii="宋体" w:hAnsi="宋体" w:cs="宋体"/>
          <w:sz w:val="24"/>
        </w:rPr>
        <w:t>坐落位置：三门县大湖塘新区；</w:t>
      </w:r>
    </w:p>
    <w:p>
      <w:pPr>
        <w:tabs>
          <w:tab w:val="left" w:pos="8280"/>
        </w:tabs>
        <w:autoSpaceDE w:val="0"/>
        <w:autoSpaceDN w:val="0"/>
        <w:adjustRightInd w:val="0"/>
        <w:spacing w:line="360" w:lineRule="auto"/>
        <w:ind w:firstLine="360" w:firstLineChars="150"/>
        <w:rPr>
          <w:rFonts w:ascii="宋体" w:hAnsi="宋体" w:cs="宋体"/>
          <w:sz w:val="24"/>
        </w:rPr>
      </w:pPr>
      <w:r>
        <w:rPr>
          <w:rFonts w:hint="eastAsia" w:ascii="宋体" w:hAnsi="宋体" w:cs="宋体"/>
          <w:sz w:val="24"/>
        </w:rPr>
        <w:t>物业面积： 1.</w:t>
      </w:r>
      <w:r>
        <w:rPr>
          <w:rFonts w:hint="eastAsia" w:ascii="宋体" w:hAnsi="宋体" w:cs="宋体"/>
          <w:sz w:val="24"/>
          <w:lang w:val="en-US" w:eastAsia="zh-CN"/>
        </w:rPr>
        <w:t>4</w:t>
      </w:r>
      <w:r>
        <w:rPr>
          <w:rFonts w:hint="eastAsia" w:ascii="宋体" w:hAnsi="宋体" w:cs="宋体"/>
          <w:sz w:val="24"/>
        </w:rPr>
        <w:t>万平方米；</w:t>
      </w:r>
    </w:p>
    <w:p>
      <w:pPr>
        <w:tabs>
          <w:tab w:val="left" w:pos="8280"/>
        </w:tabs>
        <w:autoSpaceDE w:val="0"/>
        <w:autoSpaceDN w:val="0"/>
        <w:adjustRightInd w:val="0"/>
        <w:spacing w:line="360" w:lineRule="auto"/>
        <w:ind w:firstLine="360" w:firstLineChars="150"/>
        <w:rPr>
          <w:rFonts w:ascii="宋体" w:hAnsi="宋体" w:cs="宋体"/>
          <w:color w:val="000000"/>
          <w:sz w:val="24"/>
        </w:rPr>
      </w:pPr>
      <w:r>
        <w:rPr>
          <w:rFonts w:hint="eastAsia" w:ascii="宋体" w:hAnsi="宋体" w:cs="宋体"/>
          <w:sz w:val="24"/>
        </w:rPr>
        <w:t>责任区间：甲方已获得土地使用权的区域。</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（二）服务内容</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房屋建筑本体公共部分（房顶、梁、柱、内外（含木装饰）、公共走道、公用设备、大厅地面、开水间、卫生间、天台、自行车雨棚、车位、天花板、玻璃幕墙、玻璃门窗、大理石装饰、电动门、周界围栏、防冲击隔离带）的维修、养护和卫生保洁。</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房屋建筑本体公用设备设施（供配电系统、通风系统、生活供水系统）的维修、养护、管理和运行服务。负责采购单位物业所属各专业设备（含电梯、弱电指标化系统，消防控制系统、空调系统）长期保持安全、正常的运行状态。投标人应当配备专业人员进行上述工作的监督、管理和日常联系配合，并做好各种专业设备、日常巡查，台账记录，一旦发现异常的应当及时落实联络、配合排除故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3.采购单位管理范围内的市政公用设备（道路、草坪、室外上下水管道、沟渠、池、泵房、路灯、旗杆、各类管线、公示牌等）的维修、养护和卫生保洁。</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办公室、会议室、门厅、楼道等全部室内区域（含玻璃幕墙、玻璃窗室内部分）卫生保洁，配套服务设施（办公家具、厨柜、沙发、茶几，灯饰、墙面电控器、电话机、窗帘、地毯、纸篓等）的维修、养护、清洗和管理，生活水箱及消防水箱的维修、养护和清洗（玻璃幕墙每年至少清洗1次，生活水箱每年至少清洗2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5.负责采购单位物业室内外的绿化养护，定期联络、养护室植物摆放、室外绿化修剪，确保物业内无枯枝死叉，无杂草杂物、无地表土裸露。负责大楼范围内除虫、除害工作。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6.大楼范围内的安保及消控服务相关工作，大院范围内所有车辆的进出、停放管理工作。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7.采购单位的会务服务保障，包括会前准备、会中服务和会后收尾工作。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8.采购单位食堂托管服务，投标方提供专业的管理团队进行管理服务，负责食堂餐饮保障。负责食堂操作间的清理、保洁和厨余垃圾回收，负责厨房燃气、油烟等系统的维修、养护、管理和运行，食堂内墙及门窗随时保持清洁，食堂油烟管道系统每年至少清洗1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9.制定本物业管理制度及“管理分项标准（各项维修、养护和管理的工作标准和考核标准等）”。</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10.投标人完成业主单位交办的其他工作任务，如负责配合采购单位做好楼宇节能减排工作，建立用电、用水设备巡查、维修台账记录。负责做好“文明创建”、“垃圾分类”、“疫情防控”等活动，收集、整理与创建工作相关的材料。</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sz w:val="24"/>
        </w:rPr>
        <w:t>▲</w:t>
      </w:r>
      <w:r>
        <w:rPr>
          <w:rFonts w:hint="eastAsia" w:ascii="宋体" w:hAnsi="宋体" w:cs="宋体"/>
          <w:b/>
          <w:color w:val="000000" w:themeColor="text1"/>
          <w:sz w:val="24"/>
          <w14:textFill>
            <w14:solidFill>
              <w14:schemeClr w14:val="tx1"/>
            </w14:solidFill>
          </w14:textFill>
        </w:rPr>
        <w:t>上述条款涉及的维修事项经</w:t>
      </w:r>
      <w:r>
        <w:rPr>
          <w:rFonts w:hint="eastAsia" w:ascii="宋体" w:hAnsi="宋体" w:cs="宋体"/>
          <w:b/>
          <w:snapToGrid w:val="0"/>
          <w:color w:val="000000" w:themeColor="text1"/>
          <w:kern w:val="0"/>
          <w:sz w:val="24"/>
          <w14:textFill>
            <w14:solidFill>
              <w14:schemeClr w14:val="tx1"/>
            </w14:solidFill>
          </w14:textFill>
        </w:rPr>
        <w:t>采购单位确认后，投标人负责协调跟进，每年维修材料费用累计超80000元以上的，超出部分由采购单位另行支付</w:t>
      </w:r>
      <w:r>
        <w:rPr>
          <w:rFonts w:hint="eastAsia" w:ascii="宋体" w:hAnsi="宋体" w:cs="宋体"/>
          <w:snapToGrid w:val="0"/>
          <w:color w:val="000000" w:themeColor="text1"/>
          <w:kern w:val="0"/>
          <w:sz w:val="24"/>
          <w14:textFill>
            <w14:solidFill>
              <w14:schemeClr w14:val="tx1"/>
            </w14:solidFill>
          </w14:textFill>
        </w:rPr>
        <w:t>。</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（三）人员岗位配置</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按照二级以上物业管理质量要求和从业人员素质要求，根据实际工作需要合理配备，所聘人员必须符合劳动部门有关用工规定，安保人员必须</w:t>
      </w:r>
      <w:r>
        <w:rPr>
          <w:rFonts w:hint="eastAsia" w:ascii="宋体" w:hAnsi="宋体" w:cs="宋体"/>
          <w:color w:val="000000" w:themeColor="text1"/>
          <w:sz w:val="24"/>
          <w14:textFill>
            <w14:solidFill>
              <w14:schemeClr w14:val="tx1"/>
            </w14:solidFill>
          </w14:textFill>
        </w:rPr>
        <w:t>持有公安机关核发的保安上岗证，消防控制室岗位人员必须持有权威部门核发的《消防控制室人员培训合格证书》，</w:t>
      </w:r>
      <w:r>
        <w:rPr>
          <w:rFonts w:hint="eastAsia" w:ascii="宋体" w:hAnsi="宋体" w:cs="宋体"/>
          <w:snapToGrid w:val="0"/>
          <w:color w:val="000000" w:themeColor="text1"/>
          <w:kern w:val="0"/>
          <w:sz w:val="24"/>
          <w14:textFill>
            <w14:solidFill>
              <w14:schemeClr w14:val="tx1"/>
            </w14:solidFill>
          </w14:textFill>
        </w:rPr>
        <w:t>并经投标单位相关专业培训、考核合格后持证上岗。</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岗位配置：项目经理（驻场物业经理）1名，水电维护人员1名，会务1名（兼包厢服务），保洁人员4名，食堂厨师长1名，面点师1名，厨工2名，安保人员5人，共计16人。（上述为设置最低人数标准）。</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所有人员政治素质良好，品行端正，无治安、刑事处罚记录，责任心强，爱岗敬业，恪尽职守，遵守纪律，不得擅离职守，不得迟到早退。工作期间需服装整洁，举止端庄，语言文明，为人热情。 </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具体人员配置要求如下：</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1.项目经理要求</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浙江省内户籍或已办理三门县临时居住证一年以上。</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（1）年龄在30-50周岁之间；</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（2）具备大专以上文化程度；</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具备沟通协调能力，全面负责该项目的管理工作，并承担采购单位与投标单位的业务联络。负责安排、落实采购单位该项目服务人员的日常管理及班次；巡检、记录各班每日工作情况，及时向采购方负责人汇报，定期对该项目服务人员进行考核培训。负责完成以下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（1）全面负责驻地物业管理工作，负责物业管理服务中心范围内的工作质量，每天对自己分管的工作质量进行巡查，不断发现问题、解决问题，保证提供良好的管理与服务。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（2）负责制定、贯彻、落实驻地物业岗位责任制，制定工作要求，工作目的以及建立各项管理制度。</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（3）负责制定工作计划和物品需求计划，并保证计划的贯彻执行。 负责受理客户投诉，组织客户意见征询活动，定期了解客户对公司各项服务的意见和建议。</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（4）负责做好驻地物业与物业管理公司其他部门的沟通及协调工作。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（5）负责确保本部门记录的完整、准确有效、并做好归档工作。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（6）负责定期对员工培训、应急演练及应急处置，应变能力工作，提高驻地物业人员的文化、文明素养，工作能力和业务技能。</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（7）负责员工的政治思想工作，提高员工企业责任感。</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（8）在台风、暴雨等灾害性气象预警期间必须保持在岗，并组织员工做好防灾抗汛工作及其他应急措施。</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（9）完成业主单位交办的其他工作任务。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2.其余岗位人员要求</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（1）水电维护人员年龄在55周岁以下，男性，高中以上文化程度，持有电工证和电梯安全管理证书。</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（2）会务人员：年龄30周岁以下，女性，形象好，气质佳、礼貌、热情。</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（3）保洁人员:年龄在50周岁以下，接受过岗前培训，具有一定保洁服务经验。</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（4）食堂人员：厨师及面点师年龄在50周岁以下，主灶厨师须持三级或高级以上厨师证，面点师须三级或高级以上面点师证；食堂服务员、洗杂工要求女性，年龄在40周岁以下，样貌端正。</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5）安保人员：配备安保主管1名。安保人员年龄在50周岁以下，须具备公安机关核发的《保安从业人员资格证》或保安员《上岗证》，其中保安队长要求同时具有三级及以上保安员证，3名安保人员要求同时具有建（构）筑物消防员证。</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（6）重要岗位人员必须由采购方相关部门考核，政治审查通过方可录用。</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（7）物业人员人员经采购方考核定岗后，投标人未经采购方同意不得更换。</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（8）所有人员必须专职采购方服务，不得兼职。</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9）中标后物业人员如需要更换，须提前七天上报采购单位取得同意，并及时交接工作，不得影响采购单位日常工作，不得出现交接空档期。且物业服务人员流动每年不得超过20%。超过比例的，采购方有权责问投标人对包括发放员工工资福利等方面的事项，并按承包费用1%给予处罚。采购方保留更换岗位人员的权利。</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10）投标单位及其员工必须遵守采购方的一切行政管理规章和制度。采购方有权对投标单位人员的工作进行监督，如发现投标人人员工作责任心不强，主动性不够，采购方有权要求投标人立即予以更换，投标人必须无条件接受。</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（11）投标人应当根据实际报价发放工人应得的工资，投标人对所购买的保险的员工名单需到采购单位备案，对未购买保险的员工，采购单位可根据投标人的报价予以扣除。</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（四）具体服务要求及标准</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1.保洁服务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院区范围内的公共通道、电梯、楼梯、卫生间、院内外广场及外围停车场，办公大楼大小会议室、处室小会议室等各楼宇室内外公共区域的卫生保洁、生活垃圾的收集、清运等工作。（具体面积以投标人到实地测量为准）</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（1）室外、室内公共区域保洁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包括：院区范围内的公共通道、电梯、楼梯、卫生间、院内外广场及外围停车场，室外公共设施等的卫生保洁和沟渠的疏通清理（含院区范围内的各建筑物的平台）。办公大楼领导办公室、大小会议室、车库等院区内公共区域和公共设施的卫生保洁及会议室茶杯清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1.负责院区内的日常卫生保洁产生的垃圾、废弃物收集到指定垃圾集中点（做好垃圾分类工作）。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2.日常保洁过程中发现设施设备损坏的，应及时进行报修；负责院区绿化带内的白色垃圾清扫工作。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3.雨季前，疏通下水道口，清理雨水沟上下半年各1次，包括办公楼周边及楼层平台要定期清理以防落水口堵塞。</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4.不定期清理化粪池，保证化粪池不溢出。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5.做好临时性、突击性保洁任务工作。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6.恶劣灾害性天气（台风暴雨暴雪等），及时保洁清理垃圾落叶等；汛期保洁排水，冬季道路清扫积雪等。</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服务要求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1.院区卫生保洁划片包干、专人负责；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2.院区卫生清扫为每天2次。第一次主干道于8：00前完成，第二次主干道于14：00前完成，其余时间巡回动态保洁。特殊情况、落叶季节和灾害天气，应增加清扫次数，必须保持清洁干净；</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道路、地面、绿化带、广场等所有院区公共场所的垃圾、杂物等清扫干净，不留死角、无盲区，保持整洁干净，达到“九无”(无明显果皮、无明显纸屑、无明显塑膜、无明显痰迹、无明显污水、无暴露垃圾、无烟头、无乱张贴、无明显泥沙)；“四净”(广场面净、果皮箱净、树穴绿化带净、地下通道净)；“一通”(下水道口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4.雨雪天气时，保证广场面不积水、少结冰（中、大雪以上保证道路畅通）；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5.清扫过程中有较严重扬尘现象应洒水后清扫；</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6.明沟保持清洁无垃圾、各种指示牌上无灰尘；</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7.遇卫生检查、重大活动等，对卫生有特殊要求的，应增加清扫保洁力度；</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8.雨雪天气时，保证路面不积水、少结冰（中、大雪以上保证道路畅通）；</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9.地下室、防火门、通道楼梯，通道口玻璃门、停车场内各个路面、死角确保无明显灰尘、无明显污渍、无明显水迹，每周至少清理3次；</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楼道墙面干净，无明显污迹，踢脚板无明显尘土、卫生洁具做到清洁，无明显水迹，无明显异味。镜子明净，光亮，无明显灰尘，无明显污尘，无明显手印，无明显水迹、花盆上无明显灰尘、无明显污渍、无明显水迹；</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11.及时对垃圾筒、垃圾集中点进行消毒，由专人管理、合理设置。垃圾桶每日清理一次，垃圾桶无满溢、无异味、无污迹。院区内垃圾日产日清，按城市卫生要求，对全院产生的垃圾进行分类管理；</w:t>
      </w:r>
    </w:p>
    <w:p>
      <w:pPr>
        <w:pStyle w:val="19"/>
        <w:spacing w:after="0" w:line="360" w:lineRule="auto"/>
        <w:ind w:left="0" w:leftChars="0"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12.根据防疫要求，做好全院消毒防护工作。</w:t>
      </w:r>
    </w:p>
    <w:p>
      <w:pPr>
        <w:spacing w:line="360" w:lineRule="auto"/>
        <w:ind w:firstLine="361" w:firstLineChars="15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（3）服务标准</w:t>
      </w:r>
    </w:p>
    <w:tbl>
      <w:tblPr>
        <w:tblStyle w:val="20"/>
        <w:tblW w:w="9924" w:type="dxa"/>
        <w:tblInd w:w="-318" w:type="dxa"/>
        <w:tblLayout w:type="autofit"/>
        <w:tblCellMar>
          <w:top w:w="0" w:type="dxa"/>
          <w:left w:w="108" w:type="dxa"/>
          <w:bottom w:w="0" w:type="dxa"/>
          <w:right w:w="108" w:type="dxa"/>
        </w:tblCellMar>
      </w:tblPr>
      <w:tblGrid>
        <w:gridCol w:w="720"/>
        <w:gridCol w:w="760"/>
        <w:gridCol w:w="6640"/>
        <w:gridCol w:w="1804"/>
      </w:tblGrid>
      <w:tr>
        <w:tblPrEx>
          <w:tblCellMar>
            <w:top w:w="0" w:type="dxa"/>
            <w:left w:w="108" w:type="dxa"/>
            <w:bottom w:w="0" w:type="dxa"/>
            <w:right w:w="108" w:type="dxa"/>
          </w:tblCellMar>
        </w:tblPrEx>
        <w:trPr>
          <w:trHeight w:val="300" w:hRule="atLeast"/>
        </w:trPr>
        <w:tc>
          <w:tcPr>
            <w:tcW w:w="720" w:type="dxa"/>
            <w:tcBorders>
              <w:top w:val="single" w:color="auto" w:sz="8" w:space="0"/>
              <w:left w:val="single" w:color="auto" w:sz="8" w:space="0"/>
              <w:bottom w:val="single" w:color="auto" w:sz="8" w:space="0"/>
              <w:right w:val="single" w:color="auto" w:sz="8" w:space="0"/>
            </w:tcBorders>
            <w:shd w:val="clear" w:color="000000" w:fill="C7D9F1"/>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区域</w:t>
            </w:r>
          </w:p>
        </w:tc>
        <w:tc>
          <w:tcPr>
            <w:tcW w:w="760" w:type="dxa"/>
            <w:tcBorders>
              <w:top w:val="single" w:color="auto" w:sz="8" w:space="0"/>
              <w:left w:val="nil"/>
              <w:bottom w:val="single" w:color="auto" w:sz="8" w:space="0"/>
              <w:right w:val="single" w:color="auto" w:sz="8" w:space="0"/>
            </w:tcBorders>
            <w:shd w:val="clear" w:color="000000" w:fill="C7D9F1"/>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6640" w:type="dxa"/>
            <w:tcBorders>
              <w:top w:val="single" w:color="auto" w:sz="8" w:space="0"/>
              <w:left w:val="nil"/>
              <w:bottom w:val="single" w:color="auto" w:sz="8" w:space="0"/>
              <w:right w:val="single" w:color="auto" w:sz="8" w:space="0"/>
            </w:tcBorders>
            <w:shd w:val="clear" w:color="000000" w:fill="C7D9F1"/>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工 作 内 容</w:t>
            </w:r>
          </w:p>
        </w:tc>
        <w:tc>
          <w:tcPr>
            <w:tcW w:w="1804" w:type="dxa"/>
            <w:tcBorders>
              <w:top w:val="single" w:color="auto" w:sz="8" w:space="0"/>
              <w:left w:val="nil"/>
              <w:bottom w:val="single" w:color="auto" w:sz="8" w:space="0"/>
              <w:right w:val="single" w:color="auto" w:sz="8" w:space="0"/>
            </w:tcBorders>
            <w:shd w:val="clear" w:color="000000" w:fill="C7D9F1"/>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tblPrEx>
          <w:tblCellMar>
            <w:top w:w="0" w:type="dxa"/>
            <w:left w:w="108" w:type="dxa"/>
            <w:bottom w:w="0" w:type="dxa"/>
            <w:right w:w="108" w:type="dxa"/>
          </w:tblCellMar>
        </w:tblPrEx>
        <w:trPr>
          <w:trHeight w:val="300" w:hRule="atLeast"/>
        </w:trPr>
        <w:tc>
          <w:tcPr>
            <w:tcW w:w="720" w:type="dxa"/>
            <w:vMerge w:val="restart"/>
            <w:tcBorders>
              <w:top w:val="nil"/>
              <w:left w:val="single" w:color="auto" w:sz="8" w:space="0"/>
              <w:bottom w:val="single" w:color="000000"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公共区域/办公区域</w:t>
            </w: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收集区域内垃圾、更换垃圾袋，(达3/4满随时更换)</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区域内地面扫尘（无扬尘干扫）</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区域内地面湿拖（进行地面消毒、清洁）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区域内家具（桌椅、橱柜等）、台面擦拭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区域内电话、低处电器表面清洗或擦拭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区域内洗手池、水池、水龙头、皂盒、清洗、擦拭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585"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卫生间（含水龙头、洗手池、台面、马桶、地面）冲洗、擦拭、消毒</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随时保持洁净</w:t>
            </w:r>
          </w:p>
        </w:tc>
      </w:tr>
      <w:tr>
        <w:tblPrEx>
          <w:tblCellMar>
            <w:top w:w="0" w:type="dxa"/>
            <w:left w:w="108" w:type="dxa"/>
            <w:bottom w:w="0" w:type="dxa"/>
            <w:right w:w="108" w:type="dxa"/>
          </w:tblCellMar>
        </w:tblPrEx>
        <w:trPr>
          <w:trHeight w:val="585"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区域内窗台、阳台、把手、栏杆、花盆、开关盒、接线盒、各类低处标牌、垃圾桶擦拭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开水器、冰箱（如有）外表面清洁消毒</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门、门框、低处窗框擦拭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高处玻璃及窗框</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每月1次以上</w:t>
            </w:r>
          </w:p>
        </w:tc>
      </w:tr>
      <w:tr>
        <w:tblPrEx>
          <w:tblCellMar>
            <w:top w:w="0" w:type="dxa"/>
            <w:left w:w="108" w:type="dxa"/>
            <w:bottom w:w="0" w:type="dxa"/>
            <w:right w:w="108" w:type="dxa"/>
          </w:tblCellMar>
        </w:tblPrEx>
        <w:trPr>
          <w:trHeight w:val="585"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低处墙面除尘、落地瓷砖、踢脚板、地角、低处管道擦拭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不锈钢物体表面闪钢保养</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每周1次以上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高处标牌、壁挂物擦拭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每月2次以上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高处除尘</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每月1次以上</w:t>
            </w:r>
          </w:p>
        </w:tc>
      </w:tr>
      <w:tr>
        <w:tblPrEx>
          <w:tblCellMar>
            <w:top w:w="0" w:type="dxa"/>
            <w:left w:w="108" w:type="dxa"/>
            <w:bottom w:w="0" w:type="dxa"/>
            <w:right w:w="108" w:type="dxa"/>
          </w:tblCellMar>
        </w:tblPrEx>
        <w:trPr>
          <w:trHeight w:val="585"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灯具、烟感、监视器、通风口、管道、空调、风扇、空调等高处设备擦拭清洁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每季1次以上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窗帘拆换（污染时随时拆换）</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半年1次以上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巡视保洁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收集区域内垃圾、更换垃圾袋，(达3/4满随时更换)</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300" w:hRule="atLeast"/>
        </w:trPr>
        <w:tc>
          <w:tcPr>
            <w:tcW w:w="720" w:type="dxa"/>
            <w:vMerge w:val="restart"/>
            <w:tcBorders>
              <w:top w:val="nil"/>
              <w:left w:val="single" w:color="auto" w:sz="8" w:space="0"/>
              <w:bottom w:val="single" w:color="000000"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会议室/接待室/领导办公室</w:t>
            </w: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收集区域内垃圾、更换垃圾袋(达3/4满随时更换)</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区域内地面扫尘（无扬尘干扫）</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开会前</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区域内地面湿拖（进行地面消毒、清洁）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开会前1小时</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区域内家具（桌椅、橱柜等）、台面擦拭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区域内电脑、电话、仪器、低处电器表面清洗或擦拭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开会前</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区域内洗手池、水池、水龙头、皂盒清洗、擦拭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w:t>
            </w:r>
          </w:p>
        </w:tc>
      </w:tr>
      <w:tr>
        <w:tblPrEx>
          <w:tblCellMar>
            <w:top w:w="0" w:type="dxa"/>
            <w:left w:w="108" w:type="dxa"/>
            <w:bottom w:w="0" w:type="dxa"/>
            <w:right w:w="108" w:type="dxa"/>
          </w:tblCellMar>
        </w:tblPrEx>
        <w:trPr>
          <w:trHeight w:val="585"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卫生间（含镜子、水龙头、脸盆、台面、毛巾架、马桶、沐浴器、地面）、开水间冲洗、擦拭、消毒</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w:t>
            </w:r>
          </w:p>
        </w:tc>
      </w:tr>
      <w:tr>
        <w:tblPrEx>
          <w:tblCellMar>
            <w:top w:w="0" w:type="dxa"/>
            <w:left w:w="108" w:type="dxa"/>
            <w:bottom w:w="0" w:type="dxa"/>
            <w:right w:w="108" w:type="dxa"/>
          </w:tblCellMar>
        </w:tblPrEx>
        <w:trPr>
          <w:trHeight w:val="585"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区域内窗台、花瓶、花盆、开关盒、接线盒、各类低处标牌、垃圾桶擦拭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会前会后</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消毒柜、开水器、冰箱外表面清洁消毒</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门、门框、窗框、玻璃</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585"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低处墙面除尘、落地瓷砖、踢脚板、地角、低处管道擦拭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不锈钢物体表面闪钢保养</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每周1次以上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高处标牌、壁挂物擦拭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每周1次以上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高处除尘</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每月1次以上</w:t>
            </w:r>
          </w:p>
        </w:tc>
      </w:tr>
      <w:tr>
        <w:tblPrEx>
          <w:tblCellMar>
            <w:top w:w="0" w:type="dxa"/>
            <w:left w:w="108" w:type="dxa"/>
            <w:bottom w:w="0" w:type="dxa"/>
            <w:right w:w="108" w:type="dxa"/>
          </w:tblCellMar>
        </w:tblPrEx>
        <w:trPr>
          <w:trHeight w:val="585"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灯具、音响、烟感、通风口、排气扇、风扇、空调等高处设备擦洗</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每季1次以上</w:t>
            </w:r>
          </w:p>
        </w:tc>
      </w:tr>
      <w:tr>
        <w:tblPrEx>
          <w:tblCellMar>
            <w:top w:w="0" w:type="dxa"/>
            <w:left w:w="108" w:type="dxa"/>
            <w:bottom w:w="0" w:type="dxa"/>
            <w:right w:w="108" w:type="dxa"/>
          </w:tblCellMar>
        </w:tblPrEx>
        <w:trPr>
          <w:trHeight w:val="300"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窗帘，挂帘的拆换（污染时随时拆换）</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半年1次以上</w:t>
            </w:r>
          </w:p>
        </w:tc>
      </w:tr>
      <w:tr>
        <w:tblPrEx>
          <w:tblCellMar>
            <w:top w:w="0" w:type="dxa"/>
            <w:left w:w="108" w:type="dxa"/>
            <w:bottom w:w="0" w:type="dxa"/>
            <w:right w:w="108" w:type="dxa"/>
          </w:tblCellMar>
        </w:tblPrEx>
        <w:trPr>
          <w:trHeight w:val="1725" w:hRule="atLeast"/>
        </w:trPr>
        <w:tc>
          <w:tcPr>
            <w:tcW w:w="7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17</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地毯、踏垫保持干净、松软、无污渍斑点，洗后无色差</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每日清扫，每周吸尘清洁，每周局部使用清洁剂清洁，每月一次用清洁剂清洗</w:t>
            </w:r>
          </w:p>
        </w:tc>
      </w:tr>
      <w:tr>
        <w:tblPrEx>
          <w:tblCellMar>
            <w:top w:w="0" w:type="dxa"/>
            <w:left w:w="108" w:type="dxa"/>
            <w:bottom w:w="0" w:type="dxa"/>
            <w:right w:w="108" w:type="dxa"/>
          </w:tblCellMar>
        </w:tblPrEx>
        <w:trPr>
          <w:trHeight w:val="300" w:hRule="atLeast"/>
        </w:trPr>
        <w:tc>
          <w:tcPr>
            <w:tcW w:w="720" w:type="dxa"/>
            <w:vMerge w:val="restart"/>
            <w:tcBorders>
              <w:top w:val="nil"/>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室</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内</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共</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域</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收集区域内垃圾、更换垃圾袋(达3/4满随时更换)</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区域内地面扫尘并地面湿拖（进行地面消毒、清洁）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区域内洗手池、水池、水龙头清洗、擦拭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随时保持洁净</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卫生间（含镜子、水龙头、脸盆、台面、马桶、地面）、开水间冲洗、擦拭、消毒</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随时保持洁净</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区域内低处墙面、把手、栏杆、花瓶、花盆、开关盒、接线盒、各类低处标牌、垃圾桶擦拭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公共座椅的清洁擦拭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玻璃清洁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每周1次以上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不锈钢物体表面闪钢保养</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每周1次以上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高处墙面、标牌、壁挂物擦拭</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每周1次以上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高处除尘</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每月1次以上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灯具、音响、烟感、监视器等高处设备擦洗</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每季1次以上</w:t>
            </w:r>
          </w:p>
        </w:tc>
      </w:tr>
      <w:tr>
        <w:tblPrEx>
          <w:tblCellMar>
            <w:top w:w="0" w:type="dxa"/>
            <w:left w:w="108" w:type="dxa"/>
            <w:bottom w:w="0" w:type="dxa"/>
            <w:right w:w="108" w:type="dxa"/>
          </w:tblCellMar>
        </w:tblPrEx>
        <w:trPr>
          <w:trHeight w:val="1725"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地毯、踏垫保持地毯干净、松软、无污渍斑点，洗后无色差</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每日清扫，每周吸尘清洁，每周局部使用清洁剂清洁，每月一次用清洁剂清洗</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大厅内玻璃除尘、清洗，无尘，光亮</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每月全面清尘一次以上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巡逻保洁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w:t>
            </w:r>
          </w:p>
        </w:tc>
      </w:tr>
      <w:tr>
        <w:tblPrEx>
          <w:tblCellMar>
            <w:top w:w="0" w:type="dxa"/>
            <w:left w:w="108" w:type="dxa"/>
            <w:bottom w:w="0" w:type="dxa"/>
            <w:right w:w="108" w:type="dxa"/>
          </w:tblCellMar>
        </w:tblPrEx>
        <w:trPr>
          <w:trHeight w:val="300" w:hRule="atLeast"/>
        </w:trPr>
        <w:tc>
          <w:tcPr>
            <w:tcW w:w="720" w:type="dxa"/>
            <w:vMerge w:val="restart"/>
            <w:tcBorders>
              <w:top w:val="nil"/>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室</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外</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共</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域</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收集区域内垃圾、更换垃圾袋(达3/4满随时更换)</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区域内垃圾桶刷洗</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每日1次以上</w:t>
            </w:r>
          </w:p>
        </w:tc>
      </w:tr>
      <w:tr>
        <w:tblPrEx>
          <w:tblCellMar>
            <w:top w:w="0" w:type="dxa"/>
            <w:left w:w="108" w:type="dxa"/>
            <w:bottom w:w="0" w:type="dxa"/>
            <w:right w:w="108" w:type="dxa"/>
          </w:tblCellMar>
        </w:tblPrEx>
        <w:trPr>
          <w:trHeight w:val="2010"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明沟、暗沟月彻底清理，如有堵塞情况，及时疏通</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每周1次以上、雨季每周2次以上（天气预报为中、大雨量及以上时，提前4小时清理1次）</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路灯除尘</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每半年2次以上</w:t>
            </w:r>
          </w:p>
        </w:tc>
      </w:tr>
      <w:tr>
        <w:tblPrEx>
          <w:tblCellMar>
            <w:top w:w="0" w:type="dxa"/>
            <w:left w:w="108" w:type="dxa"/>
            <w:bottom w:w="0" w:type="dxa"/>
            <w:right w:w="108" w:type="dxa"/>
          </w:tblCellMar>
        </w:tblPrEx>
        <w:trPr>
          <w:trHeight w:val="870"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各出入口地面清扫、收集垃圾、水力冲洗，走廊</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循环清扫，每学期冲洗1次以上</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广场及道路清扫、收集垃圾、水力冲洗</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循环清扫</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外墙及外露管道（二米以下）除尘，无积灰、污渍</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每日清抹1次以上</w:t>
            </w:r>
          </w:p>
        </w:tc>
      </w:tr>
      <w:tr>
        <w:tblPrEx>
          <w:tblCellMar>
            <w:top w:w="0" w:type="dxa"/>
            <w:left w:w="108" w:type="dxa"/>
            <w:bottom w:w="0" w:type="dxa"/>
            <w:right w:w="108" w:type="dxa"/>
          </w:tblCellMar>
        </w:tblPrEx>
        <w:trPr>
          <w:trHeight w:val="87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屋顶及周边清扫、收集垃圾、刷洗、清洁堵塞物</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每日清扫，雨雪天气、台风季节重点清扫</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公共座椅保洁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玻璃清洁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每周1次以上</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外墙金属嵌条、标志牌除尘无积灰、污渍</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每日清抹1次以上</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监控探头除尘</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每半年清洗1次以上</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室外绿地清扫，无垃圾、无杂物</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每天清洁1次以上，随时清扫</w:t>
            </w:r>
          </w:p>
        </w:tc>
      </w:tr>
      <w:tr>
        <w:tblPrEx>
          <w:tblCellMar>
            <w:top w:w="0" w:type="dxa"/>
            <w:left w:w="108" w:type="dxa"/>
            <w:bottom w:w="0" w:type="dxa"/>
            <w:right w:w="108" w:type="dxa"/>
          </w:tblCellMar>
        </w:tblPrEx>
        <w:trPr>
          <w:trHeight w:val="300" w:hRule="atLeast"/>
        </w:trPr>
        <w:tc>
          <w:tcPr>
            <w:tcW w:w="720" w:type="dxa"/>
            <w:vMerge w:val="continue"/>
            <w:tcBorders>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巡逻保洁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随时</w:t>
            </w:r>
          </w:p>
        </w:tc>
      </w:tr>
      <w:tr>
        <w:tblPrEx>
          <w:tblCellMar>
            <w:top w:w="0" w:type="dxa"/>
            <w:left w:w="108" w:type="dxa"/>
            <w:bottom w:w="0" w:type="dxa"/>
            <w:right w:w="108" w:type="dxa"/>
          </w:tblCellMar>
        </w:tblPrEx>
        <w:trPr>
          <w:trHeight w:val="300" w:hRule="atLeast"/>
        </w:trPr>
        <w:tc>
          <w:tcPr>
            <w:tcW w:w="720" w:type="dxa"/>
            <w:vMerge w:val="restart"/>
            <w:tcBorders>
              <w:top w:val="nil"/>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梯</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区域内地面扫尘并地面湿拖（进行地面消毒、清洁）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每日2次以上</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墙面，木质（除尘）铝合金（上保护剂）、镜面清洁，无灰尘及手印，光亮</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每日保洁，每周清洁、上光</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门（内外）抹净（上保护剂），无灰尘及手印，光亮</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循环保洁，每周清洁、上光</w:t>
            </w:r>
          </w:p>
        </w:tc>
      </w:tr>
      <w:tr>
        <w:tblPrEx>
          <w:tblCellMar>
            <w:top w:w="0" w:type="dxa"/>
            <w:left w:w="108" w:type="dxa"/>
            <w:bottom w:w="0" w:type="dxa"/>
            <w:right w:w="108" w:type="dxa"/>
          </w:tblCellMar>
        </w:tblPrEx>
        <w:trPr>
          <w:trHeight w:val="87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门槽清除垃圾、杂物，无灰尘及垃圾，光亮</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每日及时清除，每周清洁、上光</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指示牌和按钮除尘，无灰尘、无手印</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每日清抹1次以上</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灯片和风口除尘无灰尘</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每日清抹1次以上</w:t>
            </w:r>
          </w:p>
        </w:tc>
      </w:tr>
      <w:tr>
        <w:tblPrEx>
          <w:tblCellMar>
            <w:top w:w="0" w:type="dxa"/>
            <w:left w:w="108" w:type="dxa"/>
            <w:bottom w:w="0" w:type="dxa"/>
            <w:right w:w="108" w:type="dxa"/>
          </w:tblCellMar>
        </w:tblPrEx>
        <w:trPr>
          <w:trHeight w:val="585" w:hRule="atLeast"/>
        </w:trPr>
        <w:tc>
          <w:tcPr>
            <w:tcW w:w="720" w:type="dxa"/>
            <w:vMerge w:val="continue"/>
            <w:tcBorders>
              <w:left w:val="single" w:color="auto" w:sz="8" w:space="0"/>
              <w:bottom w:val="nil"/>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地毯保持干净、松软、无污迹斑点</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85" w:hRule="atLeast"/>
        </w:trPr>
        <w:tc>
          <w:tcPr>
            <w:tcW w:w="720" w:type="dxa"/>
            <w:vMerge w:val="restart"/>
            <w:tcBorders>
              <w:top w:val="nil"/>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w:t>
            </w:r>
          </w:p>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他</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车库及地下室地面清扫、冲洗，无垃圾、无杂物</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循环保洁，每日清洁1次以上</w:t>
            </w:r>
          </w:p>
        </w:tc>
      </w:tr>
      <w:tr>
        <w:tblPrEx>
          <w:tblCellMar>
            <w:top w:w="0" w:type="dxa"/>
            <w:left w:w="108" w:type="dxa"/>
            <w:bottom w:w="0" w:type="dxa"/>
            <w:right w:w="108" w:type="dxa"/>
          </w:tblCellMar>
        </w:tblPrEx>
        <w:trPr>
          <w:trHeight w:val="2580" w:hRule="atLeast"/>
        </w:trPr>
        <w:tc>
          <w:tcPr>
            <w:tcW w:w="720" w:type="dxa"/>
            <w:vMerge w:val="continue"/>
            <w:tcBorders>
              <w:left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垃圾收集暂存点保洁</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垃圾存放区域每天清洗、消毒1次，每周全面清洗消毒1次；每天对垃圾的收集情况进行及时登记，以备检索。</w:t>
            </w:r>
          </w:p>
        </w:tc>
      </w:tr>
      <w:tr>
        <w:tblPrEx>
          <w:tblCellMar>
            <w:top w:w="0" w:type="dxa"/>
            <w:left w:w="108" w:type="dxa"/>
            <w:bottom w:w="0" w:type="dxa"/>
            <w:right w:w="108" w:type="dxa"/>
          </w:tblCellMar>
        </w:tblPrEx>
        <w:trPr>
          <w:trHeight w:val="87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如遇火警、水管爆裂、台风袭击、突发传染病等突发事件，要组织突击小组配合三门县人民检察院搞好特殊保洁工作。</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870" w:hRule="atLeast"/>
        </w:trPr>
        <w:tc>
          <w:tcPr>
            <w:tcW w:w="720" w:type="dxa"/>
            <w:vMerge w:val="continue"/>
            <w:tcBorders>
              <w:left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nil"/>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6640" w:type="dxa"/>
            <w:tcBorders>
              <w:top w:val="nil"/>
              <w:left w:val="nil"/>
              <w:bottom w:val="nil"/>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维护承包范围内的整洁，不可在公共区域、绿化带内或公共通道晾挂衣服、杂物；冷暖气开放时，注意关闭窗户。</w:t>
            </w:r>
          </w:p>
        </w:tc>
        <w:tc>
          <w:tcPr>
            <w:tcW w:w="1804" w:type="dxa"/>
            <w:tcBorders>
              <w:top w:val="nil"/>
              <w:left w:val="nil"/>
              <w:bottom w:val="nil"/>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870" w:hRule="atLeast"/>
        </w:trPr>
        <w:tc>
          <w:tcPr>
            <w:tcW w:w="720" w:type="dxa"/>
            <w:vMerge w:val="continue"/>
            <w:tcBorders>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14:textFill>
                  <w14:solidFill>
                    <w14:schemeClr w14:val="tx1"/>
                  </w14:solidFill>
                </w14:textFill>
              </w:rPr>
            </w:pPr>
          </w:p>
        </w:tc>
        <w:tc>
          <w:tcPr>
            <w:tcW w:w="760"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6640"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做好值班室清扫，被套定期清洗、更换，被芯定期日晒</w:t>
            </w:r>
          </w:p>
        </w:tc>
        <w:tc>
          <w:tcPr>
            <w:tcW w:w="1804" w:type="dxa"/>
            <w:tcBorders>
              <w:top w:val="nil"/>
              <w:left w:val="nil"/>
              <w:bottom w:val="single" w:color="auto" w:sz="8" w:space="0"/>
              <w:right w:val="single" w:color="auto" w:sz="8" w:space="0"/>
            </w:tcBorders>
            <w:vAlign w:val="center"/>
          </w:tcPr>
          <w:p>
            <w:pPr>
              <w:widowControl/>
              <w:rPr>
                <w:rFonts w:ascii="宋体" w:hAnsi="宋体" w:cs="宋体"/>
                <w:color w:val="000000" w:themeColor="text1"/>
                <w:kern w:val="0"/>
                <w:sz w:val="24"/>
                <w14:textFill>
                  <w14:solidFill>
                    <w14:schemeClr w14:val="tx1"/>
                  </w14:solidFill>
                </w14:textFill>
              </w:rPr>
            </w:pPr>
          </w:p>
        </w:tc>
      </w:tr>
    </w:tbl>
    <w:p>
      <w:pPr>
        <w:tabs>
          <w:tab w:val="left" w:pos="8280"/>
        </w:tabs>
        <w:autoSpaceDE w:val="0"/>
        <w:autoSpaceDN w:val="0"/>
        <w:adjustRightInd w:val="0"/>
        <w:spacing w:line="360" w:lineRule="auto"/>
        <w:ind w:firstLine="354" w:firstLineChars="147"/>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2.保安服务</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A.保安巡逻工作内容：</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（1）负责各楼层、外围安全保卫巡逻，防火，防盗，消除安全隐患，维护现场安全秩序；</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（2）及时消除现场隐患，防止安全事故发生。按要求锁好有关出入口大门，认真做好值班记录，每班及时向值班负责人汇报情况。</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（3）晚间值班10:00至次日7：00，要求两小时巡更一次。</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B.门厅岗工作内容：</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（1）南大门迎宾服务，认真执行保卫规章制度，做好值班记录。负责车辆进出秩序，人员进出管理、信件收发登记。</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（2）安检岗做好外来人员安全检查工作。</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C.消控室工作内容：</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（1）负责操作视频监控、消防系统等设备，发现异常情况及时通报安全保卫巡逻人员，并向负责人汇报；</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（2）负责监控室的日常值班，保证设备处于正常工作状态。发现设备技术故障及时上报，配合做好维修工作；</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（3）值班时间严禁脱岗，夜班不能睡觉，保持室内整洁，无关人员不得进入监控室；</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（4）工作信息、影像资料、设备档案、配备的工具与器材等，由专人负责整理和保管，防止泄密或遗失；</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（5）遇突发事件时，保持镇定，按照应急预案规定，迅速向相关领导传递信息，配合做好应急处理工作。认真填写值班和消防记录，做好交接班。</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D.服务时间：要求南门岗、大厅安检岗8-11小时行政班工作制，东门岗、西门岗监控值守岗、巡逻岗每天24小时在岗。</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E.服务质量标准：</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（1）门卫管理。办公楼（区）出入口应安排24小时值岗，严格出入登记制度，对物品进出实施分类管理，杜绝闲杂人员和危险物品进入办公楼（区）。</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巡视检查。明确巡视工作职责，对重要区域、部位、设备机房进行重点巡视并记录巡视情况;合理编制固定保安岗位和流动巡逻岗，明确岗位责任；有效利用智能化监控系统，保证24小时值班监控；保证管理区域内财产安全，对破坏公共财物行为及时制止，对违法行为及时处理；及时处理各种突发事件。</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消控、监控管理。消控、监控设施设备应保持24小时开通，并保持完整的监控记录，保证对办公区域各出入口、内部重点区域的安全监控、录像及协助布警。监控室收到异常情况报警信号后，应及时报警，并派专人赶到现场进行前期处理。监控资料应至少保持30天。做好防盗、防火报警监控设备日常使用管理。定期检查维护消防报警系统，对消防供水系统定期试水试压；消防设施有明显标记，放置合理，定期巡视检查，保证设施合格有效；制定防火责任制并严格执行。</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车辆管理。对进出管辖区域的各类车辆进行管理，设置行车指示标志，规定车辆行驶路线，指定车辆停放区域，非机动车定点有序停放，停车区域无易燃、易爆等物品存放。保证停车场的车辆停放整齐、管理有序，保证车辆安全，防止车辆丢失、损坏或酿成事故；做到标志规范、指挥规范、语言规范、管理规范。</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突发事件处理。按照要求制订突发事件应急预案，并在办公室、监控室、机房等处张榜悬挂。在各楼层固定位置悬挂疏散示意图及引路标志，每年组织不少于1次的突发事件应急演习。当发生台风、暴雨、雪灾等灾害性天气及其他突发事件时，应对设备机房、停车场、广告牌、电线杆等露天设施进行检查和加固。各岗位人员必须按规定实行岗位警戒，根据不同突发事件的现场情况进行应变处理。对待上访人员做到耐心说服，及时报告有关部门予以妥善处置。</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F.人员服务要求</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（1）具备相应的专业技能，身体健康，工作认真负责并定期接受培训。</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（2）上岗时佩戴统一标志，按要求穿戴统一制服，仪容仪表规范整齐。</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（3）文明工作，训练有素，言语规范，认真负责。</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G.人员服务要求</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（1）具备相应的专业技能，身体健康，工作认真负责并定期接受培训。</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（2）上岗时佩戴统一标志，按要求穿戴统一制服，仪容仪表规范整齐。</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（3）文明工作，训练有素，言语规范，认真负责。</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H.大院内的停车场进行有效指挥和监督，保证车量有序停放。</w:t>
      </w:r>
    </w:p>
    <w:p>
      <w:pPr>
        <w:tabs>
          <w:tab w:val="left" w:pos="8280"/>
        </w:tabs>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I.消防安全管理</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（1）按照《中华人民共和国消防法》的规定，建立健全消防安全档案。</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（2）定期组织派驻服务人员开展消防知识培训、熟练掌握消防安全技能，制定操作性较强的消防应急预案，适时开展消防安全演练；</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（3）按照《中华人民共和国消防法》的要求，排查事故隐患，对各种可疑因素或突发事件及时处理，并向上级汇报。</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（4）底层所有通往室外的疏散门在紧急情况时随时可以打开。</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（5）注意大楼公共通道，应急通道是否有乱堆乱放物品，一经发现，应通知相关人员将物品搬离。</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（6）负责三门县人民检察院消防设施、设备的日常巡检，积极配合消防维保单位做好服务物业范围内的所有消防设施、器械日常养护、维修工作。</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3.水电维护服务</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设备维运范围包括：三门县人民检察院的</w:t>
      </w:r>
      <w:r>
        <w:rPr>
          <w:rFonts w:hint="eastAsia" w:ascii="宋体" w:hAnsi="宋体" w:cs="宋体"/>
          <w:snapToGrid w:val="0"/>
          <w:color w:val="000000" w:themeColor="text1"/>
          <w:kern w:val="0"/>
          <w:sz w:val="24"/>
          <w14:textFill>
            <w14:solidFill>
              <w14:schemeClr w14:val="tx1"/>
            </w14:solidFill>
          </w14:textFill>
        </w:rPr>
        <w:t>电梯、暖通系统、供配电系统、给排水系统、消防系统、安防监控系统、弱电系统（公共广播系统、大、小屏屏幕显示装置、有线电视系统、电视电话会议系统、会议音控系统等）及相关市政公共设施</w:t>
      </w:r>
      <w:r>
        <w:rPr>
          <w:rFonts w:hint="eastAsia" w:ascii="宋体" w:hAnsi="宋体" w:cs="宋体"/>
          <w:color w:val="000000" w:themeColor="text1"/>
          <w:sz w:val="24"/>
          <w14:textFill>
            <w14:solidFill>
              <w14:schemeClr w14:val="tx1"/>
            </w14:solidFill>
          </w14:textFill>
        </w:rPr>
        <w:t>（道路、草坪、室外上下水管道、沟渠、池、泵房、路灯、旗杆、各类管线、公示牌等）</w:t>
      </w:r>
      <w:r>
        <w:rPr>
          <w:rFonts w:hint="eastAsia" w:ascii="宋体" w:hAnsi="宋体" w:cs="宋体"/>
          <w:snapToGrid w:val="0"/>
          <w:color w:val="000000" w:themeColor="text1"/>
          <w:kern w:val="0"/>
          <w:sz w:val="24"/>
          <w14:textFill>
            <w14:solidFill>
              <w14:schemeClr w14:val="tx1"/>
            </w14:solidFill>
          </w14:textFill>
        </w:rPr>
        <w:t>和附属建筑物的日常运行、养护和管理。</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（2）做好空调系统设备、消防系统、电梯设备第三方定期维保工作的跟进及监管，建立、健全运行设备、设施的维保台账记录等。</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（3）服务内容分：房屋建筑公用部位、电梯系统、空调系统、供配电系统、给排水系统、弱电系统、消防系统、其他设施设备。</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A.房屋建筑公用部位</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1）公共部位、各房间的玻璃门窗配件完好，门、窗、锁开闭灵活并无异常声响；</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2）房屋外观完好、整洁、外墙面砖、涂料、顶面粉刷层无大面积脱落，面砖、地砖平整，无大面积起壳、缺损；</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3）围墙：每天巡查不少于一次，围墙完好，铁栅栏围墙表面无锈蚀；</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4）场地、通道、路面、侧石、井盖等：保持道路畅通、路面平整、井盖无缺损、无丢失，路面井盖不影响车辆和行人通行；</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5）安全标志等：清晰完整，设施运行正常；</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6）公共雨、污水管道、房顶：保证畅通无堵，疏通每半年不少于一次，屋顶檐沟每月检查；</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7）化粪池：保持通畅、无堵塞、无满溢，半年清掏一次；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8）伸缩门、道闸：启动灵活，完好无损，正常使用，每月保养一次；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9）标识：每年维护，确保无破损无缺失。</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B.电梯系统（品牌奥的斯，数量2台）</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维运要求：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电梯维保应由具有特种设备维护资质的电梯维保公司进行，投标方经采购方同意后与电梯维保公司签订维保协议，费用含在本次物业服务费报价中。</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a）电梯在正常运行期内，要提供轿厢内部设施日常保养，在设备出现故障时应与设备维修单位积极配合等。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b）运行中，各种运行管理记录应齐全，包括各主要设备运行记录、事故分析处理记录、巡回检查记录、运行值班记录、维护保养记录、交接班记录，设备部件大修及更换情况记录、年度运行总结等。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C.空调系统：</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1）在正常运行期内，要提供日常监管，在设备出现故障时，应给予设备维修单位积极地配合。</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2）运行中，各种运行管理记录应齐全，包括各主要设备运行记录、事故分析处理记录、巡回检查记录、运行值班记录、维护保养记录、交接班记录，设备部件大修及更换情况记录、年度运行总结等。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3）日常运行中，设备、阀门和管道表面应保持整洁，无明显锈蚀，绝燃层无脱落和破损，无泡、冒、滴、漏堵现象。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4）配合维保单位对空调系统中各种计量监测仪表，拟定期检验，校完和检修，仪表工作应正常。</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5）配合维保单位对空调自控设备和控制系统应定期检查，维护和检修，定期校验传感器和控制设备。</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6）空调通风系统的检修孔、测量孔等不应被遮挡。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ascii="宋体" w:hAnsi="宋体" w:cs="宋体"/>
          <w:snapToGrid w:val="0"/>
          <w:color w:val="000000" w:themeColor="text1"/>
          <w:kern w:val="0"/>
          <w:sz w:val="24"/>
          <w14:textFill>
            <w14:solidFill>
              <w14:schemeClr w14:val="tx1"/>
            </w14:solidFill>
          </w14:textFill>
        </w:rPr>
        <w:t>所有空调、通风系统回风口滤网外壳每半年清洗一次；</w:t>
      </w:r>
      <w:r>
        <w:rPr>
          <w:rFonts w:hint="eastAsia" w:ascii="宋体" w:hAnsi="宋体" w:cs="宋体"/>
          <w:color w:val="000000" w:themeColor="text1"/>
          <w:sz w:val="24"/>
          <w14:textFill>
            <w14:solidFill>
              <w14:schemeClr w14:val="tx1"/>
            </w14:solidFill>
          </w14:textFill>
        </w:rPr>
        <w:t>空气过滤器应定期检查，必要时清洗和更换。</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8）其它未尽事宜按照《空调通风系统运行管理规范》GB50365-2005及国家有关规定执行。</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D.供配电系统：</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维运要求：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1）在正常运行期内，投标人要提供日常监管，负责在设备出现故障时应给予设备维修单位积极地配合。</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2）服务人员应经过专业培训，持相关部门颁发的上岗证书。</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3）运行中，各种运行管理记录应齐全，包括各主要设备运行记录、事故分析处理记录、巡回检查记录、运行值班记录、维护保养记录、交接班记录，设备部件大修及更换情况记录、年度运行总结等。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E.给排水系统：</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维运要求：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1）在正常运行期内，投标人要提供日常监管，在设备出现故障时应给予设备维修单位积极地配合。</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2）服务人员应经过专业培训，具备相应的上岗资格。</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3）运行中，各种运行管理记录应齐全，包括各主要设备运行记录、事故分析处理记录、巡回检查记录、运行值班记录、维护保养记录、交接班记录，设备部件大修及更换情况记录、年度运行总结等。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F.弱电系统（建筑智能化系统）：</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1）在正常运行期内，投标人要提供日常监管，负责在设备出现故障时应给予设备维修单位积极地配合。</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2）安防监控系统：前端监视墙、报警主机、硬盘录像机、配电箱、弱电间内监控电源、防区扩展器、摄像机、红外报警器等；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3）公共广播系统：机房内公共广播设备，含音频前端设备、功放、机柜、竖向线路等；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4）有线电视系统：有线电视前端设备（光端机由有线电视部门负责），分支分配器及末端有线电视插座；</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5）电梯运行监视及其三方通话系统运行管理及设备维护；</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6）通讯系统：电话线路的调整及日常监管等；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7）配电房工作情况监视；</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8）所有弱电系统（不含计算机网络）的电源线、接地线、桥架等的维护；</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9）会议室系统维护；</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G.消防系统(消防设施设备、消防报警)：</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由三门县人民检察院委托专业消防维保单位对物业消防设施予以检测；</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2）在正常运行期内，投标人要提供日常监管，在设备出现故障时应给予设备维修单位积极的配合；</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3）服务人员应经过专业培训，具备相应的上岗资格。</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4）运行中，各种运行管理记录应齐全，包括各主要设备运行记录、事故分析处理记录、巡回检查记录、运行值班记录、维护保养记录、交接班记录，设备部件大修及更换情况记录、年度运行总结等。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H.市政公用设施和建筑物的日常养护和管理，包括道路、室外上下水管道、化粪池、沟渠、池、自行车棚、停车位等。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I.其他设施、设备运行管理</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1）人防系统：每日巡视一次，定期测试，每年年检一次，正常运行，无损坏现象，表面无积尘。</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2）生活二次供水:水箱每半年做一次清洗、消毒、消毒产品必须具备食品等级。清洗消毒过程应当做到照片记录，清洗后水样需要送检，报告需要备案。</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3）室外和屋面设备每年做一次除锈及油漆保养。</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4）其余设备（如厨房排气设备等非专业设备）每年维护保养一次。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5)大楼内的所有灯具、门锁、水笼头、阀门等的损坏由投标人负责维修更换。</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6）防雷设施：每年检查一次，接地良好，无明显锈蚀。</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7）维修时限。</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急修：半小时内到场处理，一般修理一天内完成，及时率100%、返修率1%，并有回访记录。</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小修：半小时内到场48小时内完成（特殊情况除外）。</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大修：半小时到场，一天内有答复。</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房屋自用部位、自用设施及设备的维修、养护，在三门县人民检察院提出委托时，服务单位应接受委托，服务单位代为通知维修责任单位的，或服务单位提供一般人工或劳务服务的不再另行收费，如有耗材或需要更换设备支出费用高于200元的，需提前经三门县人民检察院确认。</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9）设备设施的维保外包及法定检测费用不计入本次报价中（电梯的维保费、年检费包含在报价中）。</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J.其他设备、设施</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负责三门县人民检察院安装的其他设备、设施日常维护、检修和管理，单次维修材料费用在200元以上的，报三门县人民检察院同意，费用由三门县人民检察院承担。</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K.台账记录</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应当对三门县人民检察院所有设施、设备的日常管理建立台账记录。</w:t>
      </w:r>
    </w:p>
    <w:p>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4.绿化养护及后勤杂项服务</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负责三门县人民检察院的绿化养护，能够做到草坪、花坛内的枯枝落叶每日进行清扫，确保无杂物、无堆物，巡回保洁。积极联系、配合、监督质保期内的绿化维护单位完成门前三包绿化养护工作，确保采购方三季有鲜花绽放，四季常青，并做到树灌木完整有形，长势茂盛，无枯枝死杈、无藤蔓、无病虫害、数目无钉枪捆绑，草坪、花坛、道路等无杂草。</w:t>
      </w:r>
    </w:p>
    <w:p>
      <w:pPr>
        <w:adjustRightInd w:val="0"/>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（2）负责三门县人民检察院绿化的日常维护和修剪工作。</w:t>
      </w:r>
    </w:p>
    <w:p>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5.会务服务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（1）日常服务：负责是为各楼层会议室，提供保洁及优质会议服务。要求做到会前准备、会中服务、会后收尾工作。</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（2）应急服务：突发事件的应急会议优质服务，不限时间、人员。</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（3）会议服务要求: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①准备工作</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到会议通知后，根据会议性质、要求、开会时间、到会人数准备会议地点；将会议地点与相关部门进行确认；确认与会人员及到达时间；落实签到台及相关物品准备；会前根据要求将会议所需的用品用具准备好；会议桌、会议椅、茶杯等要求摆放整齐，在一条直线上；会前按要求将所需用设备调试好，如麦克风、幻灯机、电视机、录像机、投影屏、投影仪、激光笔、电脑等；会前半小时，各项准备工作到位。</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②会议期间服务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先到达的与会人员入座以后，提供茶水服务；通常每二十分左右添加茶水，特殊情况可按与会人员要求服务；会议中间休息，要尽快整理会场，补充和更换各种用品；会议期间服务员站于会议室门口直至会议结束。</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③会议结束</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会议结束，服务人员应站在门口，微笑道别；检查会场有无与会人员遗留物品；将会议用具、设备整理好，对会议场所进行保洁；关闭空调、电灯、窗、并且锁好会议室门。</w:t>
      </w:r>
    </w:p>
    <w:p>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6.餐饮服务要求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（一）食堂托管服务。投标方提供专业的管理团队（主要包括管理员、厨师队伍、面点师、洗杂工等）进行管理，并负责主副食的加工供应。</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投标方根据需求组织相应的管理和服务工作并主动接受监督：保证工作日期间（</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00人/天）干部职工一日三餐的供应保障，满足食堂临时公务接待和重大活动的餐饮保障就餐要求。</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1.食堂周一至周五每天提供早中晚一日三餐用餐服务。</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①早餐：提供营养可口的食品,保证20个品种以上,含中点4道（肉包、菜包、馒头、其他）、油炸类1道（油条等）、西点2道、饮品4道（稀饭、粥、豆浆等）、热主食1道、鸡蛋1道、酱菜3道、热菜4道。</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②中餐：提供营养可口的食品,保证10个品种以上，包含主荤4道、半荤3道、素菜3、汤1道及米饭、水果1个，适当提供风味美食，提供台州特色新菜（每月）；</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③晚餐：</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周一提供8个品种，包含主荤2道、半荤2道、素菜4、汤1道及米饭、面食。</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周二至周五提供2个主食（水饺、汤面、炒面、年糕等）、3道小菜。</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④卤味，每周定期提供不少于2种卤味外卖。</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菜品应以台州本地特色为主，如就餐方式发生变化，就餐品种应按要求作相应调整。</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临时人员就餐保障。根据院工作安排临时到我院参加会议、培训、外来工作交流等人员的就餐保障。采购方食堂管理人员将就餐人数、就餐标准和就餐形式提前通知投标方。用餐以台州本地菜系为主，用餐标准由采购方制定，投标方需做到准时开餐、质量保证。</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3.满足干部职工其它饮食需求。如干部职工因身体不适等需要，投标方根据需求供应病号餐或营养餐。</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4.公务接待餐饮保障。根据工作任务，需要相应保障采购方组织的会议培训等重大活动餐饮保障任务。公务接待用餐费按中餐100元/桌、晚餐200元/桌，由业主单位与中标单位另行结算（月结）。</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5.投标方应根据季节不同提供适时菜品，每月推出特色菜或新菜，根据台州当地风俗习惯，在节假日前后提供假日特殊餐饮。</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6.投标方应提出原材料申购清单，采购方采购人员负责采购并送到食堂，投标方做好验收、加工、留样、分发等工作，流程清晰、单据保管齐全，并接受采购方相关人员监督检查。</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（1）投标方按规定的标准和需求每周制订菜谱，并在每周四上午前将下一周食谱送交采购方办公室审核批准后实施，菜谱一旦确定，未经采购方机关服务中心同意不得擅自变更。</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（2）投标方应按照采购方就餐人员数量变化科学制定原材料采购计划，严格控制制作、售卖等环节，减少剩余浪费，帮助采购方控制好用餐成本。</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方应指定两名责任心强的人员对所有采购实物进行验收，验收必须对照采购清单分别对品种、数量、价格、质量进行检查，填写入库清单，并负责在采购清单上签字，采购方机关服务中心不定时对采购的实物进行验收，发现问题随时责令投标方改正。</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（4）投标方按菜谱要求根据《食品安全法》的要求加工主副食品，操作人员要严格按卫生要求操作，确保食物的卫生、营养、可口、安全，留样并由专人检查食物的质量。</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（5）就餐人员统一刷卡就餐，早、中、晚餐按要求供应，加强服务人员技能和礼貌用语训练，熟练掌握刷卡机的使用方法，维持分发秩序，做到文明待人。</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采购方提供厨房、餐厅等用餐场所及用具，投标方在服务期内应妥善使用保管，加强食堂设备日常使用和维护，责任落实到人，确保设备的正常运行；如有遗失、人为损坏，投标方负责赔偿（属自然损耗、采购方干部职工损坏、来宾损坏等情况，投标方应在二日内对上述损坏物品如实上报采购方检务保障部）。本着厉行节约的原则，对小件物品和易耗物品也要专人管理、严格领用，搞好登记、按月核算。</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方搞好食堂餐厅厨房的卫生防疫管理，对餐具定期消毒，工作人员按规定着装，保持个人卫生，严防食物中毒事故，万一发生食物中毒事件，通过留样品检验，明确责任，原材料问题由供应商赔偿，操作不当由投标方负责。</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bookmarkStart w:id="34" w:name="_Toc705"/>
      <w:bookmarkStart w:id="35" w:name="_Toc4052020"/>
      <w:bookmarkStart w:id="36" w:name="_Toc5627068"/>
      <w:bookmarkStart w:id="37" w:name="_Toc25864"/>
      <w:r>
        <w:rPr>
          <w:rFonts w:hint="eastAsia" w:ascii="宋体" w:hAnsi="宋体" w:cs="宋体"/>
          <w:color w:val="000000" w:themeColor="text1"/>
          <w:sz w:val="24"/>
          <w14:textFill>
            <w14:solidFill>
              <w14:schemeClr w14:val="tx1"/>
            </w14:solidFill>
          </w14:textFill>
        </w:rPr>
        <w:t>（二）餐饮卫生管理要求</w:t>
      </w:r>
      <w:bookmarkEnd w:id="34"/>
      <w:bookmarkEnd w:id="35"/>
      <w:bookmarkEnd w:id="36"/>
      <w:bookmarkEnd w:id="37"/>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1.严格按照《中华人民共和国食品安全法》验收、清洗、加工要求制作食品，厨房用品用具严格实行一洗二过三消毒的规程。</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2.对食堂的厨房、餐厅、包厢等所有区域的卫生应按《五常法》管理模式，实行分级负责，定置、定量、定位、定进出、定标识、责任到人。</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3.自觉接受卫生管理部门和采购方管理人员对食堂卫生工作的检查、监督。</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4.垃圾污物应按指定地点放置，不得随意弃放。</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5.做好食堂区域内除虫害工作（蟑螂、老鼠、苍蝇、蚂蚁等）。</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6.做好墙体、门窗、烟道除垢、地沟油污清理工作等。</w:t>
      </w:r>
      <w:bookmarkStart w:id="38" w:name="_Toc5627069"/>
      <w:bookmarkStart w:id="39" w:name="_Toc4052021"/>
      <w:bookmarkStart w:id="40" w:name="_Toc28052"/>
      <w:bookmarkStart w:id="41" w:name="_Toc17491"/>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（三）餐饮安全管理要求</w:t>
      </w:r>
      <w:bookmarkEnd w:id="38"/>
      <w:bookmarkEnd w:id="39"/>
      <w:bookmarkEnd w:id="40"/>
      <w:bookmarkEnd w:id="41"/>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1.严格执行《中华人民共和国食品安全法》，保证食品安全，严禁使用任何变质或受污染的原料制作食品，落实食品留样制度，防止食物中毒事件发生。</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2.严格控制使用食品添加剂，注重食品卫生，保障就餐人员身体健康。</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3.下班后和设备使用完后落实关气、关电、关水、关门检查制度，预防火灾、偷盗事件发生。</w:t>
      </w:r>
      <w:bookmarkStart w:id="42" w:name="_Toc5588"/>
      <w:bookmarkStart w:id="43" w:name="_Toc5627070"/>
      <w:bookmarkStart w:id="44" w:name="_Toc4052022"/>
      <w:bookmarkStart w:id="45" w:name="_Toc32752"/>
    </w:p>
    <w:p>
      <w:pPr>
        <w:adjustRightInd w:val="0"/>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7.除“四害”工作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除“四害”不得低于爱卫会除“四害”相关规定及验收标准，并视特殊情况增加次数，由采购单位与具有主管部门颁发《病媒生物消杀专业机构资质证书》的单位进行合作，所有事宜采购单位确认后，投标人负责协调跟进落实，所产生费用与投标人无关。</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采购单位所合作的单位须建立消杀工作管理制度及台帐，根据采购方实际情况及辖区街道社区要求定期开展消杀工作，有效控制鼠、蟑、蝇、蚊等害虫孳生，定期对各类病虫害进行预防控制，适时投放消杀药物。以上工作由投标人按照采购单位要求进行管理和监督。</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3.采购单位之前除“四害”的合同履约期限届满之后，采购单位会根据安排合作事宜。</w:t>
      </w:r>
    </w:p>
    <w:p>
      <w:pPr>
        <w:spacing w:line="360" w:lineRule="auto"/>
        <w:ind w:firstLine="482" w:firstLineChars="200"/>
        <w:rPr>
          <w:rFonts w:ascii="宋体" w:hAnsi="宋体" w:cs="宋体"/>
          <w:b/>
          <w:bCs/>
          <w:sz w:val="24"/>
        </w:rPr>
      </w:pPr>
      <w:r>
        <w:rPr>
          <w:rFonts w:hint="eastAsia" w:ascii="宋体" w:hAnsi="宋体" w:cs="宋体"/>
          <w:b/>
          <w:bCs/>
          <w:sz w:val="24"/>
        </w:rPr>
        <w:t>8.其他服务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①及时、准确收发报刊、文件、快递、挂号信件等。</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②做好领导办公室卫生保洁服务；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③做好食堂包厢服务。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④应当服从三门县人民检察院的工作指令，做好其他相关服务，具体费用按市场价另外结算。</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1.提供搬运物品，搬运杂物等服务；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2.窗帘清洗、更换服务；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3.垃圾清运；</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4.地面打蜡、晶面处理或保养</w:t>
      </w:r>
      <w:bookmarkEnd w:id="42"/>
      <w:bookmarkEnd w:id="43"/>
      <w:bookmarkEnd w:id="44"/>
      <w:bookmarkEnd w:id="45"/>
      <w:bookmarkStart w:id="46" w:name="_Toc4052023"/>
      <w:bookmarkStart w:id="47" w:name="_Toc5627071"/>
      <w:bookmarkStart w:id="48" w:name="_Toc26573"/>
      <w:bookmarkStart w:id="49" w:name="_Toc11097"/>
      <w:r>
        <w:rPr>
          <w:rFonts w:hint="eastAsia" w:ascii="宋体" w:hAnsi="宋体" w:cs="宋体"/>
          <w:snapToGrid w:val="0"/>
          <w:color w:val="000000" w:themeColor="text1"/>
          <w:kern w:val="0"/>
          <w:sz w:val="24"/>
          <w14:textFill>
            <w14:solidFill>
              <w14:schemeClr w14:val="tx1"/>
            </w14:solidFill>
          </w14:textFill>
        </w:rPr>
        <w:t>；</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5.文件粉碎、清理、搬运工作。</w:t>
      </w:r>
    </w:p>
    <w:p>
      <w:pPr>
        <w:pStyle w:val="16"/>
        <w:tabs>
          <w:tab w:val="right" w:leader="dot" w:pos="9000"/>
        </w:tabs>
        <w:spacing w:line="360" w:lineRule="auto"/>
        <w:ind w:left="0" w:leftChars="0"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w:t>
      </w:r>
      <w:bookmarkEnd w:id="46"/>
      <w:bookmarkEnd w:id="47"/>
      <w:bookmarkEnd w:id="48"/>
      <w:bookmarkEnd w:id="49"/>
      <w:r>
        <w:rPr>
          <w:rFonts w:hint="eastAsia" w:ascii="宋体" w:hAnsi="宋体" w:cs="宋体"/>
          <w:b/>
          <w:color w:val="000000" w:themeColor="text1"/>
          <w:sz w:val="24"/>
          <w14:textFill>
            <w14:solidFill>
              <w14:schemeClr w14:val="tx1"/>
            </w14:solidFill>
          </w14:textFill>
        </w:rPr>
        <w:t>其他要求说明</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1.根据招标文件，投标人中标后须带齐所有原件材料到现场确认，须以“三星级”服务标准、宾馆化管理模式作为对大楼物业服务的定位，确保大楼内外的整洁。</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2.根据采购方要求各岗位的服务人员按需要可相互调配使用，杜绝缺额顶岗现象。</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投标价为该招标项目的总报价【含人员工资、社保、福利、高温费、节假日加班费、服装费、保洁绿化用品、工具、室内绿化租摆（300盆，具体细则采购单位确定）、洗手液（蓝月亮品牌）、面巾纸（知名品牌）、厕纸（知名品牌）、维修耗材费用、四害消杀、外墙清洗（一年一次）、食堂内墙及玻璃窗保持干净、油烟管道清洗、水箱清洗等】。保洁所需所有设备及消耗品由投标人提供，保证质量【含垃圾袋、卫生球、卫生纸（散珠高档卫生纸）、擦手纸（维达品牌）、洗碗液、洗手液（蓝月亮品牌）、盘香、洗衣粉、洁厕液等一次性用品】，工程人员使用工具等由中标单位提供</w:t>
      </w:r>
      <w:bookmarkStart w:id="124" w:name="_GoBack"/>
      <w:bookmarkEnd w:id="124"/>
      <w:r>
        <w:rPr>
          <w:rFonts w:hint="eastAsia" w:ascii="宋体" w:hAnsi="宋体" w:cs="宋体"/>
          <w:snapToGrid w:val="0"/>
          <w:color w:val="000000" w:themeColor="text1"/>
          <w:kern w:val="0"/>
          <w:sz w:val="24"/>
          <w14:textFill>
            <w14:solidFill>
              <w14:schemeClr w14:val="tx1"/>
            </w14:solidFill>
          </w14:textFill>
        </w:rPr>
        <w:t>。</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4.投标人在对建筑本体、设备设施、公用设施等进行维修保养时需将清单及报价单提交采购方负责人审核后由采购单位自行采购或委托代购（人工不计费用），含在报价中。</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5.采购方不提供免费就餐，如确实工作需要搭伙，由投标人与采购方协商后由投标人支付搭伙费。</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6.投标人每月须向采购方以书面形式提交工作月报，报告当月工作情况。</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7.采购单位提供物业管理的办公场地，根据需要在适合的楼层配备洁具堆放处，其它房间（如物业管理需要的应急备件仓库、设备工具间、物业值班室、保洁仓库、保洁工作间）进场后视情况协调解决。办公用品（指办公桌、电脑、打印机、纸张、文件柜等）由投标人自行解决。</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8.投标人应制订具体的质量保证措施及质量保证相关服务的承诺，如因质量未达到目标，投标人单位应承担责任和经济赔偿。各特殊岗位的上岗证必须按采购单位要求提供，复印件上墙。</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9.投标人需制定消防、抗震、安全等紧急预案，并切实地培训到每个岗位人员，一年演习一次。如遇火警、水管爆裂、台风袭击、下雪、等突发特殊情况，投标人要组织突击小组配合采购方搞好特殊保洁等协助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10.投标人负责编制房屋及附属设施、设备年度维修养护计划和方案，经双方议定后由投标人组织实施。</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11.投标人需积极完成接待过程中的就餐、礼仪工作、重大活动的场地布置工作。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12.投标单位须严格执行地方政府最低工资标准，按照国家规定给员工缴纳各种社会保险及人身意外保险。</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13.采购方不接受投标人任何因遗漏报价而发生的费用追加，因投标人违反《劳动法》等法律法规而造成采购方的连带责任和损失全部由投标人承担。</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14.投标单位不得以任何理由向采购方工作人员支付任何财物。</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15.投标单位不以任何形式转租、转让、抵押承包区域，在承包区域内从事采购单位不认可的服务工作。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16.每季度投标人应在采购单位的监督下定期进行满意率调查，管理服务的满意率考核得分低于90分的，每季度扣罚不超过承包费用2.5%的金额，投标人须无条件接受。投标人应在合同实履行程中加强服务人员的现场管理，若因为服务工作不到位、响应不及时造成不良影响，采购方将发出书面整改通知书，每发一次将视不良影响严重程度扣罚100元-500元，同一事件屡次发生，罚金翻倍。造成恶劣影响的，招标人有权单方面终止合同。</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17.本项目招标范围内如有工作人员的减少，采购方有权要求按投标单价核减相应费用。</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18.投标人应配合保安和消控室对消防、秩序管理及监控、自动报警系统的运管工作。</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19.终止承包，不影响根据合同规定进行的赔偿、补偿，也不影响履约保证金的效力。</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20.承包终止时，双方应进行结算，采购方同时进行投标人承包区域设施、设备状况检查并要求投标人一星期天内将物品撤离承包区域，否则采购方将代理处理，并追偿代理费及15%的手续费。</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21.续约合同期满前一个月，采购方应对投标人在合同期的工作表现做出评价，确定是否续约，并通知投标人。</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22.合同签订后10天内，投标人须提供“物业费用组成清单”、“物业管理考核办法”及“管理分项标准”给采购方，采购方根据实际情况经审核，督促投标人修改并认可后，投标人按照最终认可的标准实施。</w:t>
      </w:r>
    </w:p>
    <w:p>
      <w:pPr>
        <w:snapToGrid w:val="0"/>
        <w:spacing w:line="360" w:lineRule="auto"/>
        <w:ind w:firstLine="480" w:firstLineChars="200"/>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23.物业工作人员不得少于人员配置要求，上述工作内容必须按时足量完成，如因投标人的管理或自身原因造成效率降低，需要增加服务人员才能完成工作，费用不再另行增加。</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三、商务需求</w:t>
      </w:r>
    </w:p>
    <w:p>
      <w:pPr>
        <w:spacing w:line="360" w:lineRule="auto"/>
        <w:ind w:firstLine="482" w:firstLineChars="200"/>
        <w:rPr>
          <w:sz w:val="24"/>
        </w:rPr>
      </w:pPr>
      <w:r>
        <w:rPr>
          <w:rFonts w:hint="eastAsia"/>
          <w:b/>
          <w:bCs/>
          <w:sz w:val="24"/>
        </w:rPr>
        <w:t>（一）服务期：</w:t>
      </w:r>
      <w:r>
        <w:rPr>
          <w:rFonts w:hint="eastAsia"/>
          <w:sz w:val="24"/>
        </w:rPr>
        <w:t>三年</w:t>
      </w:r>
    </w:p>
    <w:p>
      <w:pPr>
        <w:spacing w:line="360" w:lineRule="auto"/>
        <w:ind w:firstLine="482" w:firstLineChars="200"/>
        <w:rPr>
          <w:sz w:val="24"/>
        </w:rPr>
      </w:pPr>
      <w:r>
        <w:rPr>
          <w:rFonts w:hint="eastAsia"/>
          <w:b/>
          <w:bCs/>
          <w:sz w:val="24"/>
        </w:rPr>
        <w:t>（二）服务时间及地点：</w:t>
      </w:r>
      <w:r>
        <w:rPr>
          <w:rFonts w:hint="eastAsia"/>
          <w:sz w:val="24"/>
        </w:rPr>
        <w:t>同前面“招标项目一览表”内所填的相关内容。</w:t>
      </w:r>
    </w:p>
    <w:p>
      <w:pPr>
        <w:spacing w:line="360" w:lineRule="auto"/>
        <w:ind w:firstLine="482" w:firstLineChars="200"/>
        <w:rPr>
          <w:sz w:val="24"/>
        </w:rPr>
      </w:pPr>
      <w:r>
        <w:rPr>
          <w:rFonts w:hint="eastAsia"/>
          <w:b/>
          <w:bCs/>
          <w:sz w:val="24"/>
        </w:rPr>
        <w:t>（三）付款条件：</w:t>
      </w:r>
      <w:r>
        <w:rPr>
          <w:rFonts w:hint="eastAsia"/>
          <w:sz w:val="24"/>
        </w:rPr>
        <w:t>按月支付。</w:t>
      </w:r>
    </w:p>
    <w:p>
      <w:pPr>
        <w:spacing w:line="360" w:lineRule="auto"/>
        <w:ind w:firstLine="482" w:firstLineChars="200"/>
        <w:rPr>
          <w:sz w:val="24"/>
        </w:rPr>
      </w:pPr>
      <w:r>
        <w:rPr>
          <w:rFonts w:hint="eastAsia"/>
          <w:b/>
          <w:bCs/>
          <w:sz w:val="24"/>
        </w:rPr>
        <w:t>（四）其他优惠等要求：</w:t>
      </w:r>
      <w:r>
        <w:rPr>
          <w:rFonts w:hint="eastAsia"/>
          <w:sz w:val="24"/>
        </w:rPr>
        <w:t>无。</w:t>
      </w:r>
    </w:p>
    <w:p>
      <w:pPr>
        <w:spacing w:line="360" w:lineRule="auto"/>
        <w:ind w:firstLine="482" w:firstLineChars="200"/>
        <w:rPr>
          <w:sz w:val="24"/>
        </w:rPr>
      </w:pPr>
      <w:r>
        <w:rPr>
          <w:rFonts w:hint="eastAsia"/>
          <w:b/>
          <w:bCs/>
          <w:sz w:val="24"/>
        </w:rPr>
        <w:t>（五）履约保证金：</w:t>
      </w:r>
      <w:r>
        <w:rPr>
          <w:rFonts w:hint="eastAsia"/>
          <w:sz w:val="24"/>
        </w:rPr>
        <w:t>无。</w:t>
      </w:r>
    </w:p>
    <w:p>
      <w:pPr>
        <w:spacing w:line="360" w:lineRule="auto"/>
        <w:ind w:firstLine="482" w:firstLineChars="200"/>
        <w:rPr>
          <w:b/>
          <w:bCs/>
          <w:sz w:val="24"/>
        </w:rPr>
      </w:pPr>
      <w:r>
        <w:rPr>
          <w:rFonts w:hint="eastAsia"/>
          <w:b/>
          <w:bCs/>
          <w:sz w:val="24"/>
        </w:rPr>
        <w:t>……</w:t>
      </w: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pStyle w:val="3"/>
      </w:pPr>
      <w:bookmarkStart w:id="50" w:name="_Toc9908"/>
      <w:r>
        <w:rPr>
          <w:rFonts w:hint="eastAsia"/>
        </w:rPr>
        <w:t>评标</w:t>
      </w:r>
      <w:bookmarkEnd w:id="50"/>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1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7"/>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7"/>
        <w:spacing w:line="360" w:lineRule="auto"/>
        <w:ind w:firstLine="480" w:firstLineChars="200"/>
        <w:jc w:val="both"/>
        <w:rPr>
          <w:rFonts w:asciiTheme="minorEastAsia" w:hAnsiTheme="minorEastAsia" w:eastAsiaTheme="minorEastAsia"/>
          <w:b/>
          <w:bCs/>
          <w:kern w:val="0"/>
          <w:sz w:val="24"/>
        </w:rPr>
      </w:pPr>
      <w:r>
        <w:rPr>
          <w:rFonts w:hint="eastAsia" w:asciiTheme="minorEastAsia" w:hAnsiTheme="minorEastAsia" w:eastAsiaTheme="minorEastAsia"/>
          <w:kern w:val="0"/>
          <w:sz w:val="24"/>
        </w:rPr>
        <w:t>（六）主要性能参数指标负偏离</w:t>
      </w:r>
      <w:r>
        <w:rPr>
          <w:rFonts w:asciiTheme="minorEastAsia" w:hAnsiTheme="minorEastAsia" w:eastAsiaTheme="minorEastAsia"/>
          <w:kern w:val="0"/>
          <w:sz w:val="24"/>
        </w:rPr>
        <w:t>8</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（十一）商务条款不响应的；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（十二）投标文件有效期不足的；</w:t>
      </w:r>
    </w:p>
    <w:p>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pPr>
        <w:pStyle w:val="2"/>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0"/>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0"/>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给予</w:t>
      </w:r>
      <w:r>
        <w:rPr>
          <w:rFonts w:ascii="宋体"/>
          <w:b/>
          <w:bCs/>
          <w:color w:val="000000"/>
          <w:sz w:val="24"/>
          <w:lang w:val="zh-CN"/>
        </w:rPr>
        <w:t>10%</w:t>
      </w:r>
      <w:r>
        <w:rPr>
          <w:rFonts w:hint="eastAsia" w:ascii="宋体"/>
          <w:color w:val="000000"/>
          <w:sz w:val="24"/>
          <w:lang w:val="zh-CN"/>
        </w:rPr>
        <w:t>的扣除，用扣除后的价格计算评标基准价和投标报价。联合体各方均为小微企业的，联合体视同为小微企业，</w:t>
      </w:r>
      <w:r>
        <w:rPr>
          <w:rFonts w:hint="eastAsia" w:ascii="宋体"/>
          <w:color w:val="000000"/>
          <w:sz w:val="24"/>
        </w:rPr>
        <w:t>对报价</w:t>
      </w:r>
      <w:r>
        <w:rPr>
          <w:rFonts w:hint="eastAsia" w:ascii="宋体"/>
          <w:color w:val="000000"/>
          <w:sz w:val="24"/>
          <w:lang w:val="zh-CN"/>
        </w:rPr>
        <w:t>给予</w:t>
      </w:r>
      <w:r>
        <w:rPr>
          <w:rFonts w:hint="eastAsia" w:ascii="宋体"/>
          <w:b/>
          <w:bCs/>
          <w:color w:val="000000"/>
          <w:sz w:val="24"/>
          <w:lang w:val="zh-CN"/>
        </w:rPr>
        <w:t>10%</w:t>
      </w:r>
      <w:r>
        <w:rPr>
          <w:rFonts w:hint="eastAsia" w:ascii="宋体"/>
          <w:color w:val="000000"/>
          <w:sz w:val="24"/>
          <w:lang w:val="zh-CN"/>
        </w:rPr>
        <w:t>的扣除；联合协议或者分包意向协议约定小微企业的合同份额占到合同总金额 30%以上的，</w:t>
      </w:r>
      <w:r>
        <w:rPr>
          <w:rFonts w:hint="eastAsia" w:ascii="宋体"/>
          <w:color w:val="000000"/>
          <w:sz w:val="24"/>
        </w:rPr>
        <w:t>对报价</w:t>
      </w:r>
      <w:r>
        <w:rPr>
          <w:rFonts w:hint="eastAsia" w:ascii="宋体"/>
          <w:color w:val="000000"/>
          <w:sz w:val="24"/>
          <w:lang w:val="zh-CN"/>
        </w:rPr>
        <w:t>给予</w:t>
      </w:r>
      <w:r>
        <w:rPr>
          <w:rFonts w:hint="eastAsia" w:ascii="宋体"/>
          <w:b/>
          <w:bCs/>
          <w:color w:val="000000"/>
          <w:sz w:val="24"/>
        </w:rPr>
        <w:t>3%</w:t>
      </w:r>
      <w:r>
        <w:rPr>
          <w:rFonts w:hint="eastAsia" w:ascii="宋体"/>
          <w:color w:val="000000"/>
          <w:sz w:val="24"/>
          <w:lang w:val="zh-CN"/>
        </w:rPr>
        <w:t>的价格扣除，用扣除后的价格计算评标基准价和响应报价。同一投标人（包括联合体），小微企业、监狱</w:t>
      </w:r>
      <w:r>
        <w:rPr>
          <w:rFonts w:hint="eastAsia" w:ascii="宋体"/>
          <w:sz w:val="24"/>
          <w:lang w:val="zh-CN"/>
        </w:rPr>
        <w:t>企业、残疾人福利性单位价格扣除优惠只享受一次，不得重复享受。</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7"/>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tbl>
      <w:tblPr>
        <w:tblStyle w:val="20"/>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3" w:type="dxa"/>
            <w:tcMar>
              <w:top w:w="57" w:type="dxa"/>
              <w:left w:w="108" w:type="dxa"/>
              <w:bottom w:w="0" w:type="dxa"/>
              <w:right w:w="108" w:type="dxa"/>
            </w:tcMar>
            <w:vAlign w:val="center"/>
          </w:tcPr>
          <w:p>
            <w:pPr>
              <w:pStyle w:val="45"/>
              <w:spacing w:before="1" w:line="300" w:lineRule="auto"/>
              <w:ind w:right="3" w:hanging="10"/>
              <w:jc w:val="center"/>
              <w:rPr>
                <w:szCs w:val="21"/>
              </w:rPr>
            </w:pPr>
            <w:r>
              <w:rPr>
                <w:rFonts w:hint="eastAsia"/>
                <w:szCs w:val="21"/>
              </w:rPr>
              <w:t>具有独立承担民事责任的能力</w:t>
            </w:r>
          </w:p>
        </w:tc>
        <w:tc>
          <w:tcPr>
            <w:tcW w:w="7092" w:type="dxa"/>
            <w:tcMar>
              <w:top w:w="57" w:type="dxa"/>
              <w:left w:w="108" w:type="dxa"/>
              <w:bottom w:w="0" w:type="dxa"/>
              <w:right w:w="108" w:type="dxa"/>
            </w:tcMar>
            <w:vAlign w:val="center"/>
          </w:tcPr>
          <w:p>
            <w:pPr>
              <w:pStyle w:val="45"/>
              <w:spacing w:line="300" w:lineRule="auto"/>
              <w:ind w:left="15" w:leftChars="7" w:right="-17" w:rightChars="-8" w:firstLine="403" w:firstLineChars="192"/>
              <w:rPr>
                <w:szCs w:val="21"/>
              </w:rPr>
            </w:pPr>
            <w:r>
              <w:rPr>
                <w:rFonts w:hint="eastAsia"/>
                <w:szCs w:val="21"/>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913" w:type="dxa"/>
            <w:shd w:val="clear" w:color="auto" w:fill="F6F6F6"/>
            <w:tcMar>
              <w:top w:w="57" w:type="dxa"/>
              <w:left w:w="108" w:type="dxa"/>
              <w:bottom w:w="0" w:type="dxa"/>
              <w:right w:w="108" w:type="dxa"/>
            </w:tcMar>
            <w:vAlign w:val="center"/>
          </w:tcPr>
          <w:p>
            <w:pPr>
              <w:pStyle w:val="45"/>
              <w:spacing w:before="1" w:line="300" w:lineRule="auto"/>
              <w:ind w:right="3" w:hanging="10"/>
              <w:jc w:val="center"/>
              <w:rPr>
                <w:szCs w:val="21"/>
              </w:rPr>
            </w:pPr>
            <w:r>
              <w:rPr>
                <w:rFonts w:hint="eastAsia"/>
                <w:szCs w:val="21"/>
              </w:rPr>
              <w:t>有依法缴纳税收和社会保障资金的良好记录</w:t>
            </w:r>
          </w:p>
        </w:tc>
        <w:tc>
          <w:tcPr>
            <w:tcW w:w="7092" w:type="dxa"/>
            <w:shd w:val="clear" w:color="auto" w:fill="F6F6F6"/>
            <w:tcMar>
              <w:top w:w="57" w:type="dxa"/>
              <w:left w:w="108" w:type="dxa"/>
              <w:bottom w:w="0" w:type="dxa"/>
              <w:right w:w="108" w:type="dxa"/>
            </w:tcMar>
            <w:vAlign w:val="center"/>
          </w:tcPr>
          <w:p>
            <w:pPr>
              <w:pStyle w:val="45"/>
              <w:spacing w:line="300" w:lineRule="auto"/>
              <w:ind w:left="15" w:leftChars="7" w:right="-17" w:rightChars="-8" w:firstLine="403" w:firstLineChars="192"/>
              <w:rPr>
                <w:szCs w:val="21"/>
              </w:rPr>
            </w:pPr>
            <w:r>
              <w:rPr>
                <w:rFonts w:hint="eastAsia"/>
                <w:szCs w:val="21"/>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45"/>
              <w:spacing w:before="1" w:line="300" w:lineRule="auto"/>
              <w:ind w:right="3" w:hanging="10"/>
              <w:jc w:val="center"/>
              <w:rPr>
                <w:szCs w:val="21"/>
              </w:rPr>
            </w:pPr>
            <w:r>
              <w:rPr>
                <w:rFonts w:hint="eastAsia"/>
                <w:szCs w:val="21"/>
              </w:rPr>
              <w:t>具有良好的商业信誉和健全的财务会计制度</w:t>
            </w:r>
          </w:p>
        </w:tc>
        <w:tc>
          <w:tcPr>
            <w:tcW w:w="7092" w:type="dxa"/>
            <w:tcMar>
              <w:top w:w="57" w:type="dxa"/>
              <w:left w:w="108" w:type="dxa"/>
              <w:bottom w:w="0" w:type="dxa"/>
              <w:right w:w="108" w:type="dxa"/>
            </w:tcMar>
            <w:vAlign w:val="center"/>
          </w:tcPr>
          <w:p>
            <w:pPr>
              <w:pStyle w:val="45"/>
              <w:spacing w:before="117" w:line="300" w:lineRule="auto"/>
              <w:ind w:left="15" w:leftChars="7" w:right="-17" w:rightChars="-8" w:firstLine="403" w:firstLineChars="192"/>
              <w:rPr>
                <w:szCs w:val="21"/>
              </w:rPr>
            </w:pPr>
            <w:r>
              <w:rPr>
                <w:rFonts w:hint="eastAsia"/>
                <w:szCs w:val="21"/>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shd w:val="clear" w:color="auto" w:fill="F6F6F6"/>
            <w:tcMar>
              <w:top w:w="57" w:type="dxa"/>
              <w:left w:w="108" w:type="dxa"/>
              <w:bottom w:w="0" w:type="dxa"/>
              <w:right w:w="108" w:type="dxa"/>
            </w:tcMar>
            <w:vAlign w:val="center"/>
          </w:tcPr>
          <w:p>
            <w:pPr>
              <w:pStyle w:val="45"/>
              <w:spacing w:before="1" w:line="300" w:lineRule="auto"/>
              <w:ind w:right="3" w:hanging="10"/>
              <w:jc w:val="center"/>
              <w:rPr>
                <w:szCs w:val="21"/>
              </w:rPr>
            </w:pPr>
            <w:r>
              <w:rPr>
                <w:rFonts w:hint="eastAsia"/>
                <w:szCs w:val="21"/>
              </w:rPr>
              <w:t>履行合同所必需的设备和专业技术能力</w:t>
            </w:r>
          </w:p>
        </w:tc>
        <w:tc>
          <w:tcPr>
            <w:tcW w:w="7092" w:type="dxa"/>
            <w:shd w:val="clear" w:color="auto" w:fill="F6F6F6"/>
            <w:tcMar>
              <w:top w:w="57" w:type="dxa"/>
              <w:left w:w="108" w:type="dxa"/>
              <w:bottom w:w="0" w:type="dxa"/>
              <w:right w:w="108" w:type="dxa"/>
            </w:tcMar>
            <w:vAlign w:val="center"/>
          </w:tcPr>
          <w:p>
            <w:pPr>
              <w:pStyle w:val="45"/>
              <w:spacing w:before="1" w:line="300" w:lineRule="auto"/>
              <w:ind w:left="15" w:leftChars="7" w:right="-17" w:rightChars="-8" w:firstLine="403" w:firstLineChars="192"/>
              <w:rPr>
                <w:szCs w:val="21"/>
              </w:rPr>
            </w:pPr>
            <w:r>
              <w:rPr>
                <w:rFonts w:hint="eastAsia"/>
                <w:szCs w:val="21"/>
              </w:rPr>
              <w:t>按投标文件格式填报设备及专业技术能力情况（根据附件</w:t>
            </w:r>
            <w:r>
              <w:rPr>
                <w:szCs w:val="21"/>
              </w:rPr>
              <w:t>3</w:t>
            </w:r>
            <w:r>
              <w:rPr>
                <w:rFonts w:hint="eastAsia"/>
                <w:szCs w:val="21"/>
              </w:rPr>
              <w:t>《投标人基本情况表》和附件</w:t>
            </w:r>
            <w:r>
              <w:rPr>
                <w:szCs w:val="21"/>
              </w:rPr>
              <w:t>5</w:t>
            </w:r>
            <w:r>
              <w:rPr>
                <w:rFonts w:hint="eastAsia"/>
                <w:szCs w:val="21"/>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913" w:type="dxa"/>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参加采购活动前3年内，在经营活动中没有重大违法记录</w:t>
            </w:r>
          </w:p>
        </w:tc>
        <w:tc>
          <w:tcPr>
            <w:tcW w:w="7092" w:type="dxa"/>
            <w:tcMar>
              <w:top w:w="57" w:type="dxa"/>
              <w:left w:w="108" w:type="dxa"/>
              <w:bottom w:w="0" w:type="dxa"/>
              <w:right w:w="108" w:type="dxa"/>
            </w:tcMar>
            <w:vAlign w:val="center"/>
          </w:tcPr>
          <w:p>
            <w:pPr>
              <w:pStyle w:val="45"/>
              <w:spacing w:before="48" w:line="300" w:lineRule="auto"/>
              <w:ind w:left="15" w:leftChars="7" w:right="-17" w:rightChars="-8" w:firstLine="403" w:firstLineChars="192"/>
              <w:rPr>
                <w:szCs w:val="21"/>
              </w:rPr>
            </w:pPr>
            <w:r>
              <w:rPr>
                <w:rFonts w:hint="eastAsia"/>
                <w:szCs w:val="21"/>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0" w:hRule="atLeast"/>
          <w:jc w:val="center"/>
        </w:trPr>
        <w:tc>
          <w:tcPr>
            <w:tcW w:w="1913" w:type="dxa"/>
            <w:shd w:val="clear" w:color="auto" w:fill="F6F6F6"/>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信用记录</w:t>
            </w:r>
          </w:p>
        </w:tc>
        <w:tc>
          <w:tcPr>
            <w:tcW w:w="7092" w:type="dxa"/>
            <w:shd w:val="clear" w:color="auto" w:fill="F6F6F6"/>
            <w:tcMar>
              <w:top w:w="57" w:type="dxa"/>
              <w:left w:w="108" w:type="dxa"/>
              <w:bottom w:w="0" w:type="dxa"/>
              <w:right w:w="108" w:type="dxa"/>
            </w:tcMar>
            <w:vAlign w:val="center"/>
          </w:tcPr>
          <w:p>
            <w:pPr>
              <w:spacing w:line="300" w:lineRule="auto"/>
              <w:ind w:left="15" w:leftChars="7" w:right="-17" w:rightChars="-8" w:firstLine="403" w:firstLineChars="192"/>
              <w:rPr>
                <w:rFonts w:ascii="宋体" w:hAnsi="宋体" w:cs="宋体"/>
                <w:szCs w:val="21"/>
              </w:rPr>
            </w:pPr>
            <w:r>
              <w:rPr>
                <w:rFonts w:hint="eastAsia"/>
              </w:rPr>
              <w:t>1.</w:t>
            </w:r>
            <w:r>
              <w:t>截止时点：</w:t>
            </w:r>
            <w:r>
              <w:rPr>
                <w:rFonts w:hint="eastAsia"/>
              </w:rPr>
              <w:t>开标后评标前</w:t>
            </w:r>
            <w:r>
              <w:t>。</w:t>
            </w:r>
          </w:p>
          <w:p>
            <w:pPr>
              <w:spacing w:line="300" w:lineRule="auto"/>
              <w:ind w:left="15" w:leftChars="7" w:right="-17" w:rightChars="-8" w:firstLine="403" w:firstLineChars="192"/>
            </w:pPr>
            <w:r>
              <w:rPr>
                <w:rFonts w:hint="eastAsia"/>
              </w:rPr>
              <w:t>2.</w:t>
            </w:r>
            <w:r>
              <w:t>信用信息查询记录和证据留存的具体方式：由采购组织机构在规定查询时间内打印信用信息查询记录并归入项目档案。</w:t>
            </w:r>
          </w:p>
          <w:p>
            <w:pPr>
              <w:spacing w:line="300" w:lineRule="auto"/>
              <w:ind w:left="15" w:leftChars="7" w:right="-17" w:rightChars="-8" w:firstLine="403" w:firstLineChars="192"/>
              <w:rPr>
                <w:rFonts w:ascii="宋体" w:hAnsi="宋体" w:cs="宋体"/>
                <w:szCs w:val="21"/>
              </w:rPr>
            </w:pPr>
            <w:r>
              <w:rPr>
                <w:rFonts w:hint="eastAsia"/>
              </w:rPr>
              <w:t>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处于“中国政府采购网”政府采购严重违法失信行为信息记录中的禁止参加政府采购活动期间（以联合体形式投标时，联合体各方均须满足该条款）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913" w:type="dxa"/>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必须符合法律、行政法规规定的其他条件</w:t>
            </w:r>
          </w:p>
        </w:tc>
        <w:tc>
          <w:tcPr>
            <w:tcW w:w="7092" w:type="dxa"/>
            <w:tcMar>
              <w:top w:w="57" w:type="dxa"/>
              <w:left w:w="108" w:type="dxa"/>
              <w:bottom w:w="0" w:type="dxa"/>
              <w:right w:w="108" w:type="dxa"/>
            </w:tcMar>
            <w:vAlign w:val="center"/>
          </w:tcPr>
          <w:p>
            <w:pPr>
              <w:pStyle w:val="45"/>
              <w:spacing w:before="48" w:line="300" w:lineRule="auto"/>
              <w:ind w:left="15" w:leftChars="7" w:right="-17" w:rightChars="-8" w:firstLine="403" w:firstLineChars="192"/>
              <w:rPr>
                <w:szCs w:val="21"/>
              </w:rPr>
            </w:pPr>
            <w:r>
              <w:rPr>
                <w:rFonts w:hint="eastAsia"/>
                <w:szCs w:val="21"/>
              </w:rPr>
              <w:t>1.单位负责人为同一人或者存在直接控股、管理关系的不同供应商，不得同时参加本项目投标。</w:t>
            </w:r>
          </w:p>
          <w:p>
            <w:pPr>
              <w:pStyle w:val="45"/>
              <w:spacing w:before="48" w:line="300" w:lineRule="auto"/>
              <w:ind w:left="15" w:leftChars="7" w:right="-17" w:rightChars="-8" w:firstLine="403" w:firstLineChars="192"/>
              <w:rPr>
                <w:szCs w:val="21"/>
              </w:rPr>
            </w:pPr>
            <w:r>
              <w:rPr>
                <w:rFonts w:hint="eastAsia"/>
                <w:szCs w:val="21"/>
              </w:rPr>
              <w:t>2.为本项目提供整体设计、规范编制或者项目管理、监理、检测等服务的供应商，不得再参与本项目投标。</w:t>
            </w:r>
          </w:p>
          <w:p>
            <w:pPr>
              <w:pStyle w:val="45"/>
              <w:spacing w:before="48" w:line="300" w:lineRule="auto"/>
              <w:ind w:left="15" w:leftChars="7" w:right="-17" w:rightChars="-8" w:firstLine="403" w:firstLineChars="192"/>
              <w:rPr>
                <w:szCs w:val="21"/>
              </w:rPr>
            </w:pPr>
            <w:r>
              <w:rPr>
                <w:rFonts w:hint="eastAsia"/>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13" w:type="dxa"/>
            <w:shd w:val="clear" w:color="auto" w:fill="F6F6F6"/>
            <w:tcMar>
              <w:top w:w="57" w:type="dxa"/>
              <w:left w:w="108" w:type="dxa"/>
              <w:bottom w:w="0" w:type="dxa"/>
              <w:right w:w="108" w:type="dxa"/>
            </w:tcMar>
            <w:vAlign w:val="center"/>
          </w:tcPr>
          <w:p>
            <w:pPr>
              <w:pStyle w:val="45"/>
              <w:spacing w:before="48" w:line="300" w:lineRule="auto"/>
              <w:ind w:right="3" w:hanging="10"/>
              <w:jc w:val="center"/>
              <w:rPr>
                <w:szCs w:val="21"/>
              </w:rPr>
            </w:pPr>
            <w:r>
              <w:rPr>
                <w:rFonts w:hint="eastAsia"/>
                <w:szCs w:val="21"/>
              </w:rPr>
              <w:t>联合体投标</w:t>
            </w:r>
          </w:p>
        </w:tc>
        <w:tc>
          <w:tcPr>
            <w:tcW w:w="7092" w:type="dxa"/>
            <w:shd w:val="clear" w:color="auto" w:fill="F6F6F6"/>
            <w:tcMar>
              <w:top w:w="57" w:type="dxa"/>
              <w:left w:w="108" w:type="dxa"/>
              <w:bottom w:w="0" w:type="dxa"/>
              <w:right w:w="108" w:type="dxa"/>
            </w:tcMar>
            <w:vAlign w:val="center"/>
          </w:tcPr>
          <w:p>
            <w:pPr>
              <w:pStyle w:val="45"/>
              <w:spacing w:before="48" w:line="300" w:lineRule="auto"/>
              <w:ind w:left="15" w:leftChars="7" w:right="-17" w:rightChars="-8" w:firstLine="403" w:firstLineChars="192"/>
              <w:rPr>
                <w:szCs w:val="21"/>
              </w:rPr>
            </w:pPr>
            <w:r>
              <w:rPr>
                <w:rFonts w:hint="eastAsia"/>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13" w:type="dxa"/>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资质</w:t>
            </w:r>
          </w:p>
        </w:tc>
        <w:tc>
          <w:tcPr>
            <w:tcW w:w="7092" w:type="dxa"/>
            <w:tcMar>
              <w:top w:w="57" w:type="dxa"/>
              <w:left w:w="108" w:type="dxa"/>
              <w:bottom w:w="0" w:type="dxa"/>
              <w:right w:w="108" w:type="dxa"/>
            </w:tcMar>
            <w:vAlign w:val="center"/>
          </w:tcPr>
          <w:p>
            <w:pPr>
              <w:pStyle w:val="45"/>
              <w:spacing w:before="48" w:line="300" w:lineRule="auto"/>
              <w:ind w:left="15" w:leftChars="7" w:right="-17" w:rightChars="-8" w:firstLine="403" w:firstLineChars="192"/>
              <w:rPr>
                <w:szCs w:val="21"/>
              </w:rPr>
            </w:pPr>
            <w:r>
              <w:rPr>
                <w:rFonts w:hint="eastAsia"/>
                <w:szCs w:val="21"/>
              </w:rPr>
              <w:t>提供相关资质证书扫描件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1913" w:type="dxa"/>
            <w:shd w:val="clear" w:color="auto" w:fill="F6F6F6"/>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落实政府采购政策需满足的资格要求</w:t>
            </w:r>
          </w:p>
        </w:tc>
        <w:tc>
          <w:tcPr>
            <w:tcW w:w="7092" w:type="dxa"/>
            <w:shd w:val="clear" w:color="auto" w:fill="F6F6F6"/>
            <w:tcMar>
              <w:top w:w="57" w:type="dxa"/>
              <w:left w:w="108" w:type="dxa"/>
              <w:bottom w:w="0" w:type="dxa"/>
              <w:right w:w="108" w:type="dxa"/>
            </w:tcMar>
            <w:vAlign w:val="center"/>
          </w:tcPr>
          <w:p>
            <w:pPr>
              <w:pStyle w:val="7"/>
              <w:spacing w:line="300" w:lineRule="auto"/>
              <w:ind w:left="15" w:leftChars="7" w:right="-17" w:rightChars="-8" w:firstLine="403" w:firstLineChars="192"/>
              <w:jc w:val="both"/>
              <w:rPr>
                <w:szCs w:val="21"/>
              </w:rPr>
            </w:pPr>
            <w:r>
              <w:rPr>
                <w:rFonts w:hint="eastAsia"/>
              </w:rPr>
              <w:t>根据实际情形设置</w:t>
            </w:r>
          </w:p>
        </w:tc>
      </w:tr>
    </w:tbl>
    <w:p>
      <w:pPr>
        <w:pStyle w:val="7"/>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7"/>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0"/>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投标文件</w:t>
            </w:r>
          </w:p>
        </w:tc>
        <w:tc>
          <w:tcPr>
            <w:tcW w:w="7183" w:type="dxa"/>
            <w:tcMar>
              <w:top w:w="57" w:type="dxa"/>
              <w:left w:w="108" w:type="dxa"/>
              <w:bottom w:w="0" w:type="dxa"/>
              <w:right w:w="108" w:type="dxa"/>
            </w:tcMar>
            <w:vAlign w:val="center"/>
          </w:tcPr>
          <w:p>
            <w:pPr>
              <w:pStyle w:val="7"/>
              <w:spacing w:line="300" w:lineRule="auto"/>
              <w:ind w:left="15" w:leftChars="7" w:right="-17" w:rightChars="-8" w:firstLine="403" w:firstLineChars="192"/>
              <w:jc w:val="both"/>
            </w:pPr>
            <w:r>
              <w:rPr>
                <w:rFonts w:hint="eastAsia"/>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980" w:type="dxa"/>
            <w:shd w:val="clear" w:color="auto" w:fill="F6F6F6"/>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法定代表人/负责人授权委托书</w:t>
            </w:r>
          </w:p>
        </w:tc>
        <w:tc>
          <w:tcPr>
            <w:tcW w:w="7183" w:type="dxa"/>
            <w:shd w:val="clear" w:color="auto" w:fill="F6F6F6"/>
            <w:tcMar>
              <w:top w:w="57" w:type="dxa"/>
              <w:left w:w="108" w:type="dxa"/>
              <w:bottom w:w="0" w:type="dxa"/>
              <w:right w:w="108" w:type="dxa"/>
            </w:tcMar>
            <w:vAlign w:val="center"/>
          </w:tcPr>
          <w:p>
            <w:pPr>
              <w:pStyle w:val="7"/>
              <w:spacing w:line="300" w:lineRule="auto"/>
              <w:ind w:left="15" w:leftChars="7" w:right="-17" w:rightChars="-8" w:firstLine="403" w:firstLineChars="192"/>
              <w:jc w:val="both"/>
            </w:pPr>
            <w:r>
              <w:rPr>
                <w:rFonts w:hint="eastAsia"/>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“▲”实质性条款</w:t>
            </w:r>
          </w:p>
        </w:tc>
        <w:tc>
          <w:tcPr>
            <w:tcW w:w="7183" w:type="dxa"/>
            <w:tcMar>
              <w:top w:w="57" w:type="dxa"/>
              <w:left w:w="108" w:type="dxa"/>
              <w:bottom w:w="0" w:type="dxa"/>
              <w:right w:w="108" w:type="dxa"/>
            </w:tcMar>
            <w:vAlign w:val="center"/>
          </w:tcPr>
          <w:p>
            <w:pPr>
              <w:pStyle w:val="7"/>
              <w:spacing w:line="300" w:lineRule="auto"/>
              <w:ind w:left="15" w:leftChars="7" w:right="-17" w:rightChars="-8" w:firstLine="403" w:firstLineChars="192"/>
              <w:jc w:val="both"/>
            </w:pPr>
            <w:r>
              <w:rPr>
                <w:rFonts w:hint="eastAsia"/>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F6F6F6"/>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串通投标</w:t>
            </w:r>
          </w:p>
        </w:tc>
        <w:tc>
          <w:tcPr>
            <w:tcW w:w="7183" w:type="dxa"/>
            <w:shd w:val="clear" w:color="auto" w:fill="F6F6F6"/>
            <w:tcMar>
              <w:top w:w="57" w:type="dxa"/>
              <w:left w:w="108" w:type="dxa"/>
              <w:bottom w:w="0" w:type="dxa"/>
              <w:right w:w="108" w:type="dxa"/>
            </w:tcMar>
            <w:vAlign w:val="center"/>
          </w:tcPr>
          <w:p>
            <w:pPr>
              <w:pStyle w:val="7"/>
              <w:spacing w:line="300" w:lineRule="auto"/>
              <w:ind w:left="15" w:leftChars="7" w:right="-17" w:rightChars="-8" w:firstLine="403" w:firstLineChars="192"/>
              <w:jc w:val="both"/>
            </w:pPr>
            <w:r>
              <w:rPr>
                <w:rFonts w:hint="eastAsia"/>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tcMar>
              <w:top w:w="57" w:type="dxa"/>
              <w:left w:w="108" w:type="dxa"/>
              <w:bottom w:w="0" w:type="dxa"/>
              <w:right w:w="108" w:type="dxa"/>
            </w:tcMar>
            <w:vAlign w:val="center"/>
          </w:tcPr>
          <w:p>
            <w:pPr>
              <w:pStyle w:val="45"/>
              <w:spacing w:line="300" w:lineRule="auto"/>
              <w:ind w:right="3" w:hanging="10"/>
              <w:jc w:val="center"/>
              <w:rPr>
                <w:szCs w:val="21"/>
              </w:rPr>
            </w:pPr>
            <w:r>
              <w:rPr>
                <w:rFonts w:hint="eastAsia"/>
                <w:szCs w:val="21"/>
              </w:rPr>
              <w:t>附加条件</w:t>
            </w:r>
          </w:p>
        </w:tc>
        <w:tc>
          <w:tcPr>
            <w:tcW w:w="7183" w:type="dxa"/>
            <w:tcMar>
              <w:top w:w="57" w:type="dxa"/>
              <w:left w:w="108" w:type="dxa"/>
              <w:bottom w:w="0" w:type="dxa"/>
              <w:right w:w="108" w:type="dxa"/>
            </w:tcMar>
            <w:vAlign w:val="center"/>
          </w:tcPr>
          <w:p>
            <w:pPr>
              <w:pStyle w:val="7"/>
              <w:spacing w:line="300" w:lineRule="auto"/>
              <w:ind w:left="15" w:leftChars="7" w:right="-17" w:rightChars="-8" w:firstLine="403" w:firstLineChars="192"/>
              <w:jc w:val="both"/>
            </w:pPr>
            <w:r>
              <w:rPr>
                <w:rFonts w:hint="eastAsia"/>
              </w:rPr>
              <w:t>投标文件未含有采购人不可接受的附加条件。</w:t>
            </w:r>
          </w:p>
        </w:tc>
      </w:tr>
    </w:tbl>
    <w:p>
      <w:pPr>
        <w:pStyle w:val="17"/>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三门县人民</w:t>
      </w:r>
      <w:r>
        <w:rPr>
          <w:rFonts w:ascii="宋体" w:hAnsi="宋体" w:cs="宋体"/>
          <w:sz w:val="24"/>
          <w:u w:val="single"/>
        </w:rPr>
        <w:t>检察院物业管理服务采购项目</w:t>
      </w:r>
      <w:r>
        <w:rPr>
          <w:rFonts w:hint="eastAsia" w:asciiTheme="minorEastAsia" w:hAnsiTheme="minorEastAsia" w:eastAsiaTheme="minorEastAsia"/>
          <w:kern w:val="0"/>
          <w:sz w:val="24"/>
        </w:rPr>
        <w:t>评标方法为综合评分法，总计100分，评标按以下标准及要求进行：</w:t>
      </w:r>
    </w:p>
    <w:p>
      <w:pPr>
        <w:numPr>
          <w:ilvl w:val="0"/>
          <w:numId w:val="7"/>
        </w:numPr>
        <w:autoSpaceDE w:val="0"/>
        <w:autoSpaceDN w:val="0"/>
        <w:adjustRightInd w:val="0"/>
        <w:spacing w:line="360" w:lineRule="auto"/>
        <w:ind w:right="85" w:firstLine="482" w:firstLineChars="200"/>
      </w:pPr>
      <w:r>
        <w:rPr>
          <w:rFonts w:hint="eastAsia" w:ascii="宋体"/>
          <w:b/>
          <w:bCs/>
          <w:sz w:val="24"/>
        </w:rPr>
        <w:t>评分标准</w:t>
      </w:r>
    </w:p>
    <w:tbl>
      <w:tblPr>
        <w:tblStyle w:val="20"/>
        <w:tblW w:w="8962" w:type="dxa"/>
        <w:jc w:val="center"/>
        <w:tblLayout w:type="fixed"/>
        <w:tblCellMar>
          <w:top w:w="0" w:type="dxa"/>
          <w:left w:w="108" w:type="dxa"/>
          <w:bottom w:w="0" w:type="dxa"/>
          <w:right w:w="108" w:type="dxa"/>
        </w:tblCellMar>
      </w:tblPr>
      <w:tblGrid>
        <w:gridCol w:w="1254"/>
        <w:gridCol w:w="1335"/>
        <w:gridCol w:w="5565"/>
        <w:gridCol w:w="808"/>
      </w:tblGrid>
      <w:tr>
        <w:tblPrEx>
          <w:tblCellMar>
            <w:top w:w="0" w:type="dxa"/>
            <w:left w:w="108" w:type="dxa"/>
            <w:bottom w:w="0" w:type="dxa"/>
            <w:right w:w="108" w:type="dxa"/>
          </w:tblCellMar>
        </w:tblPrEx>
        <w:trPr>
          <w:trHeight w:val="282" w:hRule="atLeast"/>
          <w:jc w:val="center"/>
        </w:trPr>
        <w:tc>
          <w:tcPr>
            <w:tcW w:w="125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评分项目</w:t>
            </w:r>
          </w:p>
        </w:tc>
        <w:tc>
          <w:tcPr>
            <w:tcW w:w="6900" w:type="dxa"/>
            <w:gridSpan w:val="2"/>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评分细则</w:t>
            </w:r>
          </w:p>
        </w:tc>
        <w:tc>
          <w:tcPr>
            <w:tcW w:w="808"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分值</w:t>
            </w:r>
          </w:p>
        </w:tc>
      </w:tr>
      <w:tr>
        <w:tblPrEx>
          <w:tblCellMar>
            <w:top w:w="0" w:type="dxa"/>
            <w:left w:w="108" w:type="dxa"/>
            <w:bottom w:w="0" w:type="dxa"/>
            <w:right w:w="108" w:type="dxa"/>
          </w:tblCellMar>
        </w:tblPrEx>
        <w:trPr>
          <w:trHeight w:val="810" w:hRule="atLeas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技术和服务方案</w:t>
            </w:r>
          </w:p>
          <w:p>
            <w:pPr>
              <w:spacing w:line="300" w:lineRule="auto"/>
              <w:jc w:val="center"/>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6</w:t>
            </w:r>
            <w:r>
              <w:rPr>
                <w:rFonts w:hint="eastAsia" w:asciiTheme="minorEastAsia" w:hAnsiTheme="minorEastAsia" w:cstheme="minorEastAsia"/>
                <w:b/>
                <w:bCs/>
                <w:color w:val="000000" w:themeColor="text1"/>
                <w:sz w:val="24"/>
                <w:lang w:val="en-US" w:eastAsia="zh-CN"/>
                <w14:textFill>
                  <w14:solidFill>
                    <w14:schemeClr w14:val="tx1"/>
                  </w14:solidFill>
                </w14:textFill>
              </w:rPr>
              <w:t>8</w:t>
            </w:r>
            <w:r>
              <w:rPr>
                <w:rFonts w:hint="eastAsia" w:asciiTheme="minorEastAsia" w:hAnsiTheme="minorEastAsia" w:cstheme="minorEastAsia"/>
                <w:b/>
                <w:bCs/>
                <w:color w:val="000000" w:themeColor="text1"/>
                <w:sz w:val="24"/>
                <w14:textFill>
                  <w14:solidFill>
                    <w14:schemeClr w14:val="tx1"/>
                  </w14:solidFill>
                </w14:textFill>
              </w:rPr>
              <w:t>分</w:t>
            </w:r>
          </w:p>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总体方案</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根据项目服务特点及服务质量标准制定项目总体方案：</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①管理服务理念；</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②服务定位；</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③目标责任；</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④管理模式；</w:t>
            </w:r>
          </w:p>
          <w:p>
            <w:pPr>
              <w:spacing w:line="300" w:lineRule="auto"/>
              <w:rPr>
                <w:rFonts w:asciiTheme="minorEastAsia" w:hAnsiTheme="minorEastAsia"/>
                <w:color w:val="000000" w:themeColor="text1"/>
                <w:sz w:val="24"/>
                <w:lang w:val="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⑤确保服务质量的各项措施且科学合理，切实可行</w:t>
            </w:r>
            <w:r>
              <w:rPr>
                <w:rFonts w:hint="eastAsia" w:asciiTheme="minorEastAsia" w:hAnsiTheme="minorEastAsia"/>
                <w:color w:val="000000" w:themeColor="text1"/>
                <w:sz w:val="24"/>
                <w:lang w:val="zh-CN"/>
                <w14:textFill>
                  <w14:solidFill>
                    <w14:schemeClr w14:val="tx1"/>
                  </w14:solidFill>
                </w14:textFill>
              </w:rPr>
              <w:t>。</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方案逻辑清晰、内容完整、切实可行视为满足，</w:t>
            </w:r>
            <w:r>
              <w:rPr>
                <w:rFonts w:hint="eastAsia" w:asciiTheme="minorEastAsia" w:hAnsiTheme="minorEastAsia"/>
                <w:color w:val="000000" w:themeColor="text1"/>
                <w:sz w:val="24"/>
                <w:lang w:val="zh-CN"/>
                <w14:textFill>
                  <w14:solidFill>
                    <w14:schemeClr w14:val="tx1"/>
                  </w14:solidFill>
                </w14:textFill>
              </w:rPr>
              <w:t>每一项</w:t>
            </w:r>
            <w:r>
              <w:rPr>
                <w:rFonts w:hint="eastAsia" w:asciiTheme="minorEastAsia" w:hAnsiTheme="minorEastAsia"/>
                <w:color w:val="000000" w:themeColor="text1"/>
                <w:sz w:val="24"/>
                <w14:textFill>
                  <w14:solidFill>
                    <w14:schemeClr w14:val="tx1"/>
                  </w14:solidFill>
                </w14:textFill>
              </w:rPr>
              <w:t>满足</w:t>
            </w:r>
            <w:r>
              <w:rPr>
                <w:rFonts w:hint="eastAsia" w:asciiTheme="minorEastAsia" w:hAnsiTheme="minorEastAsia"/>
                <w:color w:val="000000" w:themeColor="text1"/>
                <w:sz w:val="24"/>
                <w:lang w:val="zh-CN"/>
                <w14:textFill>
                  <w14:solidFill>
                    <w14:schemeClr w14:val="tx1"/>
                  </w14:solidFill>
                </w14:textFill>
              </w:rPr>
              <w:t>得</w:t>
            </w:r>
            <w:r>
              <w:rPr>
                <w:rFonts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.5</w:t>
            </w:r>
            <w:r>
              <w:rPr>
                <w:rFonts w:hint="eastAsia" w:asciiTheme="minorEastAsia" w:hAnsiTheme="minorEastAsia"/>
                <w:color w:val="000000" w:themeColor="text1"/>
                <w:sz w:val="24"/>
                <w:lang w:val="zh-CN"/>
                <w14:textFill>
                  <w14:solidFill>
                    <w14:schemeClr w14:val="tx1"/>
                  </w14:solidFill>
                </w14:textFill>
              </w:rPr>
              <w:t>分，</w:t>
            </w:r>
            <w:r>
              <w:rPr>
                <w:rFonts w:hint="eastAsia" w:asciiTheme="minorEastAsia" w:hAnsiTheme="minorEastAsia"/>
                <w:color w:val="000000" w:themeColor="text1"/>
                <w:sz w:val="24"/>
                <w14:textFill>
                  <w14:solidFill>
                    <w14:schemeClr w14:val="tx1"/>
                  </w14:solidFill>
                </w14:textFill>
              </w:rPr>
              <w:t>不满足</w:t>
            </w:r>
            <w:r>
              <w:rPr>
                <w:rFonts w:hint="eastAsia" w:asciiTheme="minorEastAsia" w:hAnsiTheme="minorEastAsia"/>
                <w:color w:val="000000" w:themeColor="text1"/>
                <w:sz w:val="24"/>
                <w:lang w:val="zh-CN"/>
                <w14:textFill>
                  <w14:solidFill>
                    <w14:schemeClr w14:val="tx1"/>
                  </w14:solidFill>
                </w14:textFill>
              </w:rPr>
              <w:t>不得分</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zh-CN"/>
                <w14:textFill>
                  <w14:solidFill>
                    <w14:schemeClr w14:val="tx1"/>
                  </w14:solidFill>
                </w14:textFill>
              </w:rPr>
              <w:t>最高得</w:t>
            </w:r>
            <w:r>
              <w:rPr>
                <w:rFonts w:hint="eastAsia" w:asciiTheme="minorEastAsia" w:hAnsiTheme="minorEastAsia"/>
                <w:color w:val="000000" w:themeColor="text1"/>
                <w:sz w:val="24"/>
                <w14:textFill>
                  <w14:solidFill>
                    <w14:schemeClr w14:val="tx1"/>
                  </w14:solidFill>
                </w14:textFill>
              </w:rPr>
              <w:t>7.5</w:t>
            </w:r>
            <w:r>
              <w:rPr>
                <w:rFonts w:hint="eastAsia" w:asciiTheme="minorEastAsia" w:hAnsiTheme="minorEastAsia"/>
                <w:color w:val="000000" w:themeColor="text1"/>
                <w:sz w:val="24"/>
                <w:lang w:val="zh-CN"/>
                <w14:textFill>
                  <w14:solidFill>
                    <w14:schemeClr w14:val="tx1"/>
                  </w14:solidFill>
                </w14:textFill>
              </w:rPr>
              <w:t>分</w:t>
            </w:r>
            <w:r>
              <w:rPr>
                <w:rFonts w:hint="eastAsia" w:asciiTheme="minorEastAsia" w:hAnsiTheme="minorEastAsia"/>
                <w:color w:val="000000" w:themeColor="text1"/>
                <w:sz w:val="24"/>
                <w14:textFill>
                  <w14:solidFill>
                    <w14:schemeClr w14:val="tx1"/>
                  </w14:solidFill>
                </w14:textFill>
              </w:rPr>
              <w:t>。</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7.5</w:t>
            </w:r>
          </w:p>
        </w:tc>
      </w:tr>
      <w:tr>
        <w:tblPrEx>
          <w:tblCellMar>
            <w:top w:w="0" w:type="dxa"/>
            <w:left w:w="108" w:type="dxa"/>
            <w:bottom w:w="0" w:type="dxa"/>
            <w:right w:w="108" w:type="dxa"/>
          </w:tblCellMar>
        </w:tblPrEx>
        <w:trPr>
          <w:trHeight w:val="90"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管理方案</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组织架构是否完善健全，主要管理流程是否清晰合理，</w:t>
            </w:r>
            <w:r>
              <w:rPr>
                <w:rFonts w:hint="eastAsia" w:cs="宋体" w:asciiTheme="minorEastAsia" w:hAnsiTheme="minorEastAsia"/>
                <w:color w:val="000000" w:themeColor="text1"/>
                <w:sz w:val="24"/>
                <w14:textFill>
                  <w14:solidFill>
                    <w14:schemeClr w14:val="tx1"/>
                  </w14:solidFill>
                </w14:textFill>
              </w:rPr>
              <w:t>每满足一项得</w:t>
            </w:r>
            <w:r>
              <w:rPr>
                <w:rFonts w:cs="宋体" w:asciiTheme="minorEastAsia" w:hAnsiTheme="minorEastAsia"/>
                <w:color w:val="000000" w:themeColor="text1"/>
                <w:sz w:val="24"/>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分。</w:t>
            </w:r>
            <w:r>
              <w:rPr>
                <w:rFonts w:hint="eastAsia" w:asciiTheme="minorEastAsia" w:hAnsiTheme="minorEastAsia"/>
                <w:color w:val="000000" w:themeColor="text1"/>
                <w:sz w:val="24"/>
                <w:lang w:val="zh-CN"/>
                <w14:textFill>
                  <w14:solidFill>
                    <w14:schemeClr w14:val="tx1"/>
                  </w14:solidFill>
                </w14:textFill>
              </w:rPr>
              <w:t>最高得</w:t>
            </w:r>
            <w:r>
              <w:rPr>
                <w:rFonts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zh-CN"/>
                <w14:textFill>
                  <w14:solidFill>
                    <w14:schemeClr w14:val="tx1"/>
                  </w14:solidFill>
                </w14:textFill>
              </w:rPr>
              <w:t>分</w:t>
            </w:r>
            <w:r>
              <w:rPr>
                <w:rFonts w:hint="eastAsia" w:asciiTheme="minorEastAsia" w:hAnsiTheme="minorEastAsia"/>
                <w:b/>
                <w:bCs/>
                <w:color w:val="000000" w:themeColor="text1"/>
                <w:sz w:val="24"/>
                <w14:textFill>
                  <w14:solidFill>
                    <w14:schemeClr w14:val="tx1"/>
                  </w14:solidFill>
                </w14:textFill>
              </w:rPr>
              <w:t>。</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r>
      <w:tr>
        <w:tblPrEx>
          <w:tblCellMar>
            <w:top w:w="0" w:type="dxa"/>
            <w:left w:w="108" w:type="dxa"/>
            <w:bottom w:w="0" w:type="dxa"/>
            <w:right w:w="108" w:type="dxa"/>
          </w:tblCellMar>
        </w:tblPrEx>
        <w:trPr>
          <w:trHeight w:val="28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①安全制度；</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②各级人员的管理制度； </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③岗位职责；  </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④考核制度；</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fldChar w:fldCharType="begin"/>
            </w:r>
            <w:r>
              <w:rPr>
                <w:rFonts w:hint="eastAsia" w:asciiTheme="minorEastAsia" w:hAnsiTheme="minorEastAsia"/>
                <w:color w:val="000000" w:themeColor="text1"/>
                <w:sz w:val="24"/>
                <w14:textFill>
                  <w14:solidFill>
                    <w14:schemeClr w14:val="tx1"/>
                  </w14:solidFill>
                </w14:textFill>
              </w:rPr>
              <w:instrText xml:space="preserve"> = 5 \* GB3 \* MERGEFORMAT </w:instrText>
            </w:r>
            <w:r>
              <w:rPr>
                <w:rFonts w:hint="eastAsia" w:asciiTheme="minorEastAsia" w:hAnsiTheme="minorEastAsia"/>
                <w:color w:val="000000" w:themeColor="text1"/>
                <w:sz w:val="24"/>
                <w14:textFill>
                  <w14:solidFill>
                    <w14:schemeClr w14:val="tx1"/>
                  </w14:solidFill>
                </w14:textFill>
              </w:rPr>
              <w:fldChar w:fldCharType="separate"/>
            </w:r>
            <w:r>
              <w:rPr>
                <w:rFonts w:hint="eastAsia" w:asciiTheme="minorEastAsia" w:hAnsiTheme="minorEastAsia"/>
                <w:color w:val="000000" w:themeColor="text1"/>
                <w:sz w:val="24"/>
                <w14:textFill>
                  <w14:solidFill>
                    <w14:schemeClr w14:val="tx1"/>
                  </w14:solidFill>
                </w14:textFill>
              </w:rPr>
              <w:t>⑤</w:t>
            </w:r>
            <w:r>
              <w:rPr>
                <w:rFonts w:hint="eastAsia" w:asciiTheme="minorEastAsia" w:hAnsiTheme="minorEastAsia"/>
                <w:color w:val="000000" w:themeColor="text1"/>
                <w:sz w:val="24"/>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激励机制、监督机制、自我约束机制、信息反馈渠道及处理机制；</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fldChar w:fldCharType="begin"/>
            </w:r>
            <w:r>
              <w:rPr>
                <w:rFonts w:hint="eastAsia" w:asciiTheme="minorEastAsia" w:hAnsiTheme="minorEastAsia"/>
                <w:color w:val="000000" w:themeColor="text1"/>
                <w:sz w:val="24"/>
                <w14:textFill>
                  <w14:solidFill>
                    <w14:schemeClr w14:val="tx1"/>
                  </w14:solidFill>
                </w14:textFill>
              </w:rPr>
              <w:instrText xml:space="preserve"> = 6 \* GB3 \* MERGEFORMAT </w:instrText>
            </w:r>
            <w:r>
              <w:rPr>
                <w:rFonts w:hint="eastAsia" w:asciiTheme="minorEastAsia" w:hAnsiTheme="minorEastAsia"/>
                <w:color w:val="000000" w:themeColor="text1"/>
                <w:sz w:val="24"/>
                <w14:textFill>
                  <w14:solidFill>
                    <w14:schemeClr w14:val="tx1"/>
                  </w14:solidFill>
                </w14:textFill>
              </w:rPr>
              <w:fldChar w:fldCharType="separate"/>
            </w:r>
            <w:r>
              <w:rPr>
                <w:rFonts w:hint="eastAsia" w:asciiTheme="minorEastAsia" w:hAnsiTheme="minorEastAsia"/>
                <w:color w:val="000000" w:themeColor="text1"/>
                <w:sz w:val="24"/>
                <w14:textFill>
                  <w14:solidFill>
                    <w14:schemeClr w14:val="tx1"/>
                  </w14:solidFill>
                </w14:textFill>
              </w:rPr>
              <w:t>⑥</w:t>
            </w:r>
            <w:r>
              <w:rPr>
                <w:rFonts w:hint="eastAsia" w:asciiTheme="minorEastAsia" w:hAnsiTheme="minorEastAsia"/>
                <w:color w:val="000000" w:themeColor="text1"/>
                <w:sz w:val="24"/>
                <w14:textFill>
                  <w14:solidFill>
                    <w14:schemeClr w14:val="tx1"/>
                  </w14:solidFill>
                </w14:textFill>
              </w:rPr>
              <w:fldChar w:fldCharType="end"/>
            </w:r>
            <w:r>
              <w:rPr>
                <w:rFonts w:hint="eastAsia" w:asciiTheme="minorEastAsia" w:hAnsiTheme="minorEastAsia"/>
                <w:color w:val="000000" w:themeColor="text1"/>
                <w:sz w:val="24"/>
                <w14:textFill>
                  <w14:solidFill>
                    <w14:schemeClr w14:val="tx1"/>
                  </w14:solidFill>
                </w14:textFill>
              </w:rPr>
              <w:t>问题整改与应急管理制度。</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方案逻辑清晰、内容完整、切实可行视为满足，</w:t>
            </w:r>
            <w:r>
              <w:rPr>
                <w:rFonts w:hint="eastAsia" w:asciiTheme="minorEastAsia" w:hAnsiTheme="minorEastAsia"/>
                <w:color w:val="000000" w:themeColor="text1"/>
                <w:sz w:val="24"/>
                <w:lang w:val="zh-CN"/>
                <w14:textFill>
                  <w14:solidFill>
                    <w14:schemeClr w14:val="tx1"/>
                  </w14:solidFill>
                </w14:textFill>
              </w:rPr>
              <w:t>每一项</w:t>
            </w:r>
            <w:r>
              <w:rPr>
                <w:rFonts w:hint="eastAsia" w:asciiTheme="minorEastAsia" w:hAnsiTheme="minorEastAsia"/>
                <w:color w:val="000000" w:themeColor="text1"/>
                <w:sz w:val="24"/>
                <w14:textFill>
                  <w14:solidFill>
                    <w14:schemeClr w14:val="tx1"/>
                  </w14:solidFill>
                </w14:textFill>
              </w:rPr>
              <w:t>满足</w:t>
            </w:r>
            <w:r>
              <w:rPr>
                <w:rFonts w:hint="eastAsia" w:asciiTheme="minorEastAsia" w:hAnsiTheme="minorEastAsia"/>
                <w:color w:val="000000" w:themeColor="text1"/>
                <w:sz w:val="24"/>
                <w:lang w:val="zh-CN"/>
                <w14:textFill>
                  <w14:solidFill>
                    <w14:schemeClr w14:val="tx1"/>
                  </w14:solidFill>
                </w14:textFill>
              </w:rPr>
              <w:t>得</w:t>
            </w:r>
            <w:r>
              <w:rPr>
                <w:rFonts w:asciiTheme="minorEastAsia" w:hAnsiTheme="minorEastAsia"/>
                <w:color w:val="000000" w:themeColor="text1"/>
                <w:sz w:val="24"/>
                <w14:textFill>
                  <w14:solidFill>
                    <w14:schemeClr w14:val="tx1"/>
                  </w14:solidFill>
                </w14:textFill>
              </w:rPr>
              <w:t>0.5</w:t>
            </w:r>
            <w:r>
              <w:rPr>
                <w:rFonts w:hint="eastAsia" w:asciiTheme="minorEastAsia" w:hAnsiTheme="minorEastAsia"/>
                <w:color w:val="000000" w:themeColor="text1"/>
                <w:sz w:val="24"/>
                <w:lang w:val="zh-CN"/>
                <w14:textFill>
                  <w14:solidFill>
                    <w14:schemeClr w14:val="tx1"/>
                  </w14:solidFill>
                </w14:textFill>
              </w:rPr>
              <w:t>分，</w:t>
            </w:r>
            <w:r>
              <w:rPr>
                <w:rFonts w:hint="eastAsia" w:asciiTheme="minorEastAsia" w:hAnsiTheme="minorEastAsia"/>
                <w:color w:val="000000" w:themeColor="text1"/>
                <w:sz w:val="24"/>
                <w14:textFill>
                  <w14:solidFill>
                    <w14:schemeClr w14:val="tx1"/>
                  </w14:solidFill>
                </w14:textFill>
              </w:rPr>
              <w:t>不满足</w:t>
            </w:r>
            <w:r>
              <w:rPr>
                <w:rFonts w:hint="eastAsia" w:asciiTheme="minorEastAsia" w:hAnsiTheme="minorEastAsia"/>
                <w:color w:val="000000" w:themeColor="text1"/>
                <w:sz w:val="24"/>
                <w:lang w:val="zh-CN"/>
                <w14:textFill>
                  <w14:solidFill>
                    <w14:schemeClr w14:val="tx1"/>
                  </w14:solidFill>
                </w14:textFill>
              </w:rPr>
              <w:t>不得分</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zh-CN"/>
                <w14:textFill>
                  <w14:solidFill>
                    <w14:schemeClr w14:val="tx1"/>
                  </w14:solidFill>
                </w14:textFill>
              </w:rPr>
              <w:t>最高得</w:t>
            </w:r>
            <w:r>
              <w:rPr>
                <w:rFonts w:asciiTheme="minorEastAsia" w:hAnsiTheme="minorEastAsia"/>
                <w:color w:val="000000" w:themeColor="text1"/>
                <w:sz w:val="24"/>
                <w14:textFill>
                  <w14:solidFill>
                    <w14:schemeClr w14:val="tx1"/>
                  </w14:solidFill>
                </w14:textFill>
              </w:rPr>
              <w:t>3</w:t>
            </w:r>
            <w:r>
              <w:rPr>
                <w:rFonts w:hint="eastAsia" w:asciiTheme="minorEastAsia" w:hAnsiTheme="minorEastAsia"/>
                <w:color w:val="000000" w:themeColor="text1"/>
                <w:sz w:val="24"/>
                <w:lang w:val="zh-CN"/>
                <w14:textFill>
                  <w14:solidFill>
                    <w14:schemeClr w14:val="tx1"/>
                  </w14:solidFill>
                </w14:textFill>
              </w:rPr>
              <w:t>分</w:t>
            </w:r>
            <w:r>
              <w:rPr>
                <w:rFonts w:hint="eastAsia" w:asciiTheme="minorEastAsia" w:hAnsiTheme="minorEastAsia"/>
                <w:color w:val="000000" w:themeColor="text1"/>
                <w:sz w:val="24"/>
                <w14:textFill>
                  <w14:solidFill>
                    <w14:schemeClr w14:val="tx1"/>
                  </w14:solidFill>
                </w14:textFill>
              </w:rPr>
              <w:t>。</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3</w:t>
            </w:r>
          </w:p>
        </w:tc>
      </w:tr>
      <w:tr>
        <w:tblPrEx>
          <w:tblCellMar>
            <w:top w:w="0" w:type="dxa"/>
            <w:left w:w="108" w:type="dxa"/>
            <w:bottom w:w="0" w:type="dxa"/>
            <w:right w:w="108" w:type="dxa"/>
          </w:tblCellMar>
        </w:tblPrEx>
        <w:trPr>
          <w:trHeight w:val="218"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服务方案</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物业管理区域保洁服务方案：</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方案详实、内容完整、操作性强的给</w:t>
            </w:r>
            <w:r>
              <w:rPr>
                <w:rFonts w:asciiTheme="minorEastAsia" w:hAnsiTheme="minorEastAsia"/>
                <w:color w:val="000000" w:themeColor="text1"/>
                <w:sz w:val="24"/>
                <w14:textFill>
                  <w14:solidFill>
                    <w14:schemeClr w14:val="tx1"/>
                  </w14:solidFill>
                </w14:textFill>
              </w:rPr>
              <w:t>4.1-</w:t>
            </w:r>
            <w:r>
              <w:rPr>
                <w:rFonts w:hint="eastAsia" w:asciiTheme="minorEastAsia" w:hAnsiTheme="minorEastAsia"/>
                <w:color w:val="000000" w:themeColor="text1"/>
                <w:sz w:val="24"/>
                <w14:textFill>
                  <w14:solidFill>
                    <w14:schemeClr w14:val="tx1"/>
                  </w14:solidFill>
                </w14:textFill>
              </w:rPr>
              <w:t>7分；</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方案合理、内容常规、操作简略的给</w:t>
            </w:r>
            <w:r>
              <w:rPr>
                <w:rFonts w:asciiTheme="minorEastAsia" w:hAnsiTheme="minorEastAsia"/>
                <w:color w:val="000000" w:themeColor="text1"/>
                <w:sz w:val="24"/>
                <w14:textFill>
                  <w14:solidFill>
                    <w14:schemeClr w14:val="tx1"/>
                  </w14:solidFill>
                </w14:textFill>
              </w:rPr>
              <w:t>2.1-4</w:t>
            </w:r>
            <w:r>
              <w:rPr>
                <w:rFonts w:hint="eastAsia" w:asciiTheme="minorEastAsia" w:hAnsiTheme="minorEastAsia"/>
                <w:color w:val="000000" w:themeColor="text1"/>
                <w:sz w:val="24"/>
                <w14:textFill>
                  <w14:solidFill>
                    <w14:schemeClr w14:val="tx1"/>
                  </w14:solidFill>
                </w14:textFill>
              </w:rPr>
              <w:t>分；</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方案粗糙、内容缺漏、操作性差的给</w:t>
            </w:r>
            <w:r>
              <w:rPr>
                <w:rFonts w:asciiTheme="minorEastAsia" w:hAnsiTheme="minorEastAsia"/>
                <w:color w:val="000000" w:themeColor="text1"/>
                <w:sz w:val="24"/>
                <w14:textFill>
                  <w14:solidFill>
                    <w14:schemeClr w14:val="tx1"/>
                  </w14:solidFill>
                </w14:textFill>
              </w:rPr>
              <w:t>0-2</w:t>
            </w:r>
            <w:r>
              <w:rPr>
                <w:rFonts w:hint="eastAsia" w:asciiTheme="minorEastAsia" w:hAnsiTheme="minorEastAsia"/>
                <w:color w:val="000000" w:themeColor="text1"/>
                <w:sz w:val="24"/>
                <w14:textFill>
                  <w14:solidFill>
                    <w14:schemeClr w14:val="tx1"/>
                  </w14:solidFill>
                </w14:textFill>
              </w:rPr>
              <w:t>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r>
      <w:tr>
        <w:tblPrEx>
          <w:tblCellMar>
            <w:top w:w="0" w:type="dxa"/>
            <w:left w:w="108" w:type="dxa"/>
            <w:bottom w:w="0" w:type="dxa"/>
            <w:right w:w="108" w:type="dxa"/>
          </w:tblCellMar>
        </w:tblPrEx>
        <w:trPr>
          <w:trHeight w:val="130"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continue"/>
            <w:tcBorders>
              <w:left w:val="single" w:color="auto" w:sz="4" w:space="0"/>
              <w:right w:val="single" w:color="auto" w:sz="4" w:space="0"/>
            </w:tcBorders>
          </w:tcPr>
          <w:p>
            <w:pPr>
              <w:spacing w:line="300" w:lineRule="auto"/>
              <w:jc w:val="center"/>
              <w:rPr>
                <w:rFonts w:asciiTheme="minorEastAsia" w:hAnsiTheme="minorEastAsia"/>
                <w:b/>
                <w:bCs/>
                <w:color w:val="000000" w:themeColor="text1"/>
                <w:sz w:val="24"/>
                <w14:textFill>
                  <w14:solidFill>
                    <w14:schemeClr w14:val="tx1"/>
                  </w14:solidFill>
                </w14:textFill>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物业管理区域安保消控服务方案：</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方案详实、内容完整、操作性强的给</w:t>
            </w:r>
            <w:r>
              <w:rPr>
                <w:rFonts w:asciiTheme="minorEastAsia" w:hAnsiTheme="minorEastAsia"/>
                <w:color w:val="000000" w:themeColor="text1"/>
                <w:sz w:val="24"/>
                <w14:textFill>
                  <w14:solidFill>
                    <w14:schemeClr w14:val="tx1"/>
                  </w14:solidFill>
                </w14:textFill>
              </w:rPr>
              <w:t>4.1-</w:t>
            </w:r>
            <w:r>
              <w:rPr>
                <w:rFonts w:hint="eastAsia" w:asciiTheme="minorEastAsia" w:hAnsiTheme="minorEastAsia"/>
                <w:color w:val="000000" w:themeColor="text1"/>
                <w:sz w:val="24"/>
                <w14:textFill>
                  <w14:solidFill>
                    <w14:schemeClr w14:val="tx1"/>
                  </w14:solidFill>
                </w14:textFill>
              </w:rPr>
              <w:t>7分；</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方案合理、内容常规、操作简略的给</w:t>
            </w:r>
            <w:r>
              <w:rPr>
                <w:rFonts w:asciiTheme="minorEastAsia" w:hAnsiTheme="minorEastAsia"/>
                <w:color w:val="000000" w:themeColor="text1"/>
                <w:sz w:val="24"/>
                <w14:textFill>
                  <w14:solidFill>
                    <w14:schemeClr w14:val="tx1"/>
                  </w14:solidFill>
                </w14:textFill>
              </w:rPr>
              <w:t>2.1-4</w:t>
            </w:r>
            <w:r>
              <w:rPr>
                <w:rFonts w:hint="eastAsia" w:asciiTheme="minorEastAsia" w:hAnsiTheme="minorEastAsia"/>
                <w:color w:val="000000" w:themeColor="text1"/>
                <w:sz w:val="24"/>
                <w14:textFill>
                  <w14:solidFill>
                    <w14:schemeClr w14:val="tx1"/>
                  </w14:solidFill>
                </w14:textFill>
              </w:rPr>
              <w:t>分；</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方案粗糙、内容缺漏、操作性差的给</w:t>
            </w:r>
            <w:r>
              <w:rPr>
                <w:rFonts w:asciiTheme="minorEastAsia" w:hAnsiTheme="minorEastAsia"/>
                <w:color w:val="000000" w:themeColor="text1"/>
                <w:sz w:val="24"/>
                <w14:textFill>
                  <w14:solidFill>
                    <w14:schemeClr w14:val="tx1"/>
                  </w14:solidFill>
                </w14:textFill>
              </w:rPr>
              <w:t>0-2</w:t>
            </w:r>
            <w:r>
              <w:rPr>
                <w:rFonts w:hint="eastAsia" w:asciiTheme="minorEastAsia" w:hAnsiTheme="minorEastAsia"/>
                <w:color w:val="000000" w:themeColor="text1"/>
                <w:sz w:val="24"/>
                <w14:textFill>
                  <w14:solidFill>
                    <w14:schemeClr w14:val="tx1"/>
                  </w14:solidFill>
                </w14:textFill>
              </w:rPr>
              <w:t>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r>
      <w:tr>
        <w:tblPrEx>
          <w:tblCellMar>
            <w:top w:w="0" w:type="dxa"/>
            <w:left w:w="108" w:type="dxa"/>
            <w:bottom w:w="0" w:type="dxa"/>
            <w:right w:w="108" w:type="dxa"/>
          </w:tblCellMar>
        </w:tblPrEx>
        <w:trPr>
          <w:trHeight w:val="259"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continue"/>
            <w:tcBorders>
              <w:left w:val="single" w:color="auto" w:sz="4" w:space="0"/>
              <w:right w:val="single" w:color="auto" w:sz="4" w:space="0"/>
            </w:tcBorders>
          </w:tcPr>
          <w:p>
            <w:pPr>
              <w:spacing w:line="300" w:lineRule="auto"/>
              <w:jc w:val="center"/>
              <w:rPr>
                <w:rFonts w:asciiTheme="minorEastAsia" w:hAnsiTheme="minorEastAsia"/>
                <w:b/>
                <w:bCs/>
                <w:color w:val="000000" w:themeColor="text1"/>
                <w:sz w:val="24"/>
                <w14:textFill>
                  <w14:solidFill>
                    <w14:schemeClr w14:val="tx1"/>
                  </w14:solidFill>
                </w14:textFill>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物业管理区域绿化服务方案：</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方案详实、内容完整、操作性强的给</w:t>
            </w:r>
            <w:r>
              <w:rPr>
                <w:rFonts w:asciiTheme="minorEastAsia" w:hAnsiTheme="minorEastAsia"/>
                <w:color w:val="000000" w:themeColor="text1"/>
                <w:sz w:val="24"/>
                <w14:textFill>
                  <w14:solidFill>
                    <w14:schemeClr w14:val="tx1"/>
                  </w14:solidFill>
                </w14:textFill>
              </w:rPr>
              <w:t>4.1-</w:t>
            </w:r>
            <w:r>
              <w:rPr>
                <w:rFonts w:hint="eastAsia" w:asciiTheme="minorEastAsia" w:hAnsiTheme="minorEastAsia"/>
                <w:color w:val="000000" w:themeColor="text1"/>
                <w:sz w:val="24"/>
                <w14:textFill>
                  <w14:solidFill>
                    <w14:schemeClr w14:val="tx1"/>
                  </w14:solidFill>
                </w14:textFill>
              </w:rPr>
              <w:t>7分；</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方案合理、内容常规、操作简略的给</w:t>
            </w:r>
            <w:r>
              <w:rPr>
                <w:rFonts w:asciiTheme="minorEastAsia" w:hAnsiTheme="minorEastAsia"/>
                <w:color w:val="000000" w:themeColor="text1"/>
                <w:sz w:val="24"/>
                <w14:textFill>
                  <w14:solidFill>
                    <w14:schemeClr w14:val="tx1"/>
                  </w14:solidFill>
                </w14:textFill>
              </w:rPr>
              <w:t>2.1-4</w:t>
            </w:r>
            <w:r>
              <w:rPr>
                <w:rFonts w:hint="eastAsia" w:asciiTheme="minorEastAsia" w:hAnsiTheme="minorEastAsia"/>
                <w:color w:val="000000" w:themeColor="text1"/>
                <w:sz w:val="24"/>
                <w14:textFill>
                  <w14:solidFill>
                    <w14:schemeClr w14:val="tx1"/>
                  </w14:solidFill>
                </w14:textFill>
              </w:rPr>
              <w:t>分；</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方案粗糙、内容缺漏、操作性差的给</w:t>
            </w:r>
            <w:r>
              <w:rPr>
                <w:rFonts w:asciiTheme="minorEastAsia" w:hAnsiTheme="minorEastAsia"/>
                <w:color w:val="000000" w:themeColor="text1"/>
                <w:sz w:val="24"/>
                <w14:textFill>
                  <w14:solidFill>
                    <w14:schemeClr w14:val="tx1"/>
                  </w14:solidFill>
                </w14:textFill>
              </w:rPr>
              <w:t>0-2</w:t>
            </w:r>
            <w:r>
              <w:rPr>
                <w:rFonts w:hint="eastAsia" w:asciiTheme="minorEastAsia" w:hAnsiTheme="minorEastAsia"/>
                <w:color w:val="000000" w:themeColor="text1"/>
                <w:sz w:val="24"/>
                <w14:textFill>
                  <w14:solidFill>
                    <w14:schemeClr w14:val="tx1"/>
                  </w14:solidFill>
                </w14:textFill>
              </w:rPr>
              <w:t>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r>
      <w:tr>
        <w:tblPrEx>
          <w:tblCellMar>
            <w:top w:w="0" w:type="dxa"/>
            <w:left w:w="108" w:type="dxa"/>
            <w:bottom w:w="0" w:type="dxa"/>
            <w:right w:w="108" w:type="dxa"/>
          </w:tblCellMar>
        </w:tblPrEx>
        <w:trPr>
          <w:trHeight w:val="6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continue"/>
            <w:tcBorders>
              <w:left w:val="single" w:color="auto" w:sz="4" w:space="0"/>
              <w:right w:val="single" w:color="auto" w:sz="4" w:space="0"/>
            </w:tcBorders>
          </w:tcPr>
          <w:p>
            <w:pPr>
              <w:spacing w:line="300" w:lineRule="auto"/>
              <w:jc w:val="center"/>
              <w:rPr>
                <w:rFonts w:asciiTheme="minorEastAsia" w:hAnsiTheme="minorEastAsia"/>
                <w:b/>
                <w:bCs/>
                <w:color w:val="000000" w:themeColor="text1"/>
                <w:sz w:val="24"/>
                <w14:textFill>
                  <w14:solidFill>
                    <w14:schemeClr w14:val="tx1"/>
                  </w14:solidFill>
                </w14:textFill>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保安服务培训计划方案（具体方案包括：岗姿岗容、礼貌礼仪、队列训练等）：</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方案详实、内容完整、操作性强的给</w:t>
            </w:r>
            <w:r>
              <w:rPr>
                <w:rFonts w:asciiTheme="minorEastAsia" w:hAnsiTheme="minorEastAsia"/>
                <w:color w:val="000000" w:themeColor="text1"/>
                <w:sz w:val="24"/>
                <w14:textFill>
                  <w14:solidFill>
                    <w14:schemeClr w14:val="tx1"/>
                  </w14:solidFill>
                </w14:textFill>
              </w:rPr>
              <w:t>4.1-</w:t>
            </w:r>
            <w:r>
              <w:rPr>
                <w:rFonts w:hint="eastAsia" w:asciiTheme="minorEastAsia" w:hAnsiTheme="minorEastAsia"/>
                <w:color w:val="000000" w:themeColor="text1"/>
                <w:sz w:val="24"/>
                <w14:textFill>
                  <w14:solidFill>
                    <w14:schemeClr w14:val="tx1"/>
                  </w14:solidFill>
                </w14:textFill>
              </w:rPr>
              <w:t>7分；</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方案合理、内容常规、操作简略的给</w:t>
            </w:r>
            <w:r>
              <w:rPr>
                <w:rFonts w:asciiTheme="minorEastAsia" w:hAnsiTheme="minorEastAsia"/>
                <w:color w:val="000000" w:themeColor="text1"/>
                <w:sz w:val="24"/>
                <w14:textFill>
                  <w14:solidFill>
                    <w14:schemeClr w14:val="tx1"/>
                  </w14:solidFill>
                </w14:textFill>
              </w:rPr>
              <w:t>2.1-4</w:t>
            </w:r>
            <w:r>
              <w:rPr>
                <w:rFonts w:hint="eastAsia" w:asciiTheme="minorEastAsia" w:hAnsiTheme="minorEastAsia"/>
                <w:color w:val="000000" w:themeColor="text1"/>
                <w:sz w:val="24"/>
                <w14:textFill>
                  <w14:solidFill>
                    <w14:schemeClr w14:val="tx1"/>
                  </w14:solidFill>
                </w14:textFill>
              </w:rPr>
              <w:t>分；</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方案粗糙、内容缺漏、操作性差的给</w:t>
            </w:r>
            <w:r>
              <w:rPr>
                <w:rFonts w:asciiTheme="minorEastAsia" w:hAnsiTheme="minorEastAsia"/>
                <w:color w:val="000000" w:themeColor="text1"/>
                <w:sz w:val="24"/>
                <w14:textFill>
                  <w14:solidFill>
                    <w14:schemeClr w14:val="tx1"/>
                  </w14:solidFill>
                </w14:textFill>
              </w:rPr>
              <w:t>0-2</w:t>
            </w:r>
            <w:r>
              <w:rPr>
                <w:rFonts w:hint="eastAsia" w:asciiTheme="minorEastAsia" w:hAnsiTheme="minorEastAsia"/>
                <w:color w:val="000000" w:themeColor="text1"/>
                <w:sz w:val="24"/>
                <w14:textFill>
                  <w14:solidFill>
                    <w14:schemeClr w14:val="tx1"/>
                  </w14:solidFill>
                </w14:textFill>
              </w:rPr>
              <w:t>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r>
      <w:tr>
        <w:tblPrEx>
          <w:tblCellMar>
            <w:top w:w="0" w:type="dxa"/>
            <w:left w:w="108" w:type="dxa"/>
            <w:bottom w:w="0" w:type="dxa"/>
            <w:right w:w="108" w:type="dxa"/>
          </w:tblCellMar>
        </w:tblPrEx>
        <w:trPr>
          <w:trHeight w:val="6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continue"/>
            <w:tcBorders>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sz w:val="24"/>
                <w14:textFill>
                  <w14:solidFill>
                    <w14:schemeClr w14:val="tx1"/>
                  </w14:solidFill>
                </w14:textFill>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投标人/供应商投入的与本次采购服务需求相关的设备情况（如洒水车、扫地车、磨光机等），根据设备情况（品牌、产地、规格、用途的详细说明）要求提供设备照片、进货发票原件扫描件或相关证明。</w:t>
            </w:r>
          </w:p>
          <w:p>
            <w:pPr>
              <w:pStyle w:val="9"/>
              <w:spacing w:after="0" w:line="300" w:lineRule="auto"/>
              <w:ind w:left="0" w:leftChars="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设备先进、使用性能佳、完全满足本次采购服务需求的给</w:t>
            </w:r>
            <w:r>
              <w:rPr>
                <w:rFonts w:hint="eastAsia" w:asciiTheme="minorEastAsia" w:hAnsiTheme="minorEastAsia"/>
                <w:color w:val="000000" w:themeColor="text1"/>
                <w:sz w:val="24"/>
                <w14:textFill>
                  <w14:solidFill>
                    <w14:schemeClr w14:val="tx1"/>
                  </w14:solidFill>
                </w14:textFill>
              </w:rPr>
              <w:t>2</w:t>
            </w:r>
            <w:r>
              <w:rPr>
                <w:rFonts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4分；</w:t>
            </w:r>
          </w:p>
          <w:p>
            <w:pPr>
              <w:pStyle w:val="9"/>
              <w:spacing w:after="0" w:line="300" w:lineRule="auto"/>
              <w:ind w:left="0" w:leftChars="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设备齐全、使用性能一般、基本满足本次采购服务需求的给</w:t>
            </w:r>
            <w:r>
              <w:rPr>
                <w:rFonts w:hint="eastAsia" w:asciiTheme="minorEastAsia" w:hAnsiTheme="minorEastAsia"/>
                <w:color w:val="000000" w:themeColor="text1"/>
                <w:sz w:val="24"/>
                <w14:textFill>
                  <w14:solidFill>
                    <w14:schemeClr w14:val="tx1"/>
                  </w14:solidFill>
                </w14:textFill>
              </w:rPr>
              <w:t>1</w:t>
            </w:r>
            <w:r>
              <w:rPr>
                <w:rFonts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2分；</w:t>
            </w:r>
          </w:p>
          <w:p>
            <w:pPr>
              <w:pStyle w:val="9"/>
              <w:spacing w:after="0" w:line="300" w:lineRule="auto"/>
              <w:ind w:left="0" w:leftChars="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设备简陋、使用性能差、不能基本满足本次采购服务需求的给</w:t>
            </w:r>
            <w:r>
              <w:rPr>
                <w:rFonts w:asciiTheme="minorEastAsia" w:hAnsiTheme="minorEastAsia"/>
                <w:color w:val="000000" w:themeColor="text1"/>
                <w:sz w:val="24"/>
                <w14:textFill>
                  <w14:solidFill>
                    <w14:schemeClr w14:val="tx1"/>
                  </w14:solidFill>
                </w14:textFill>
              </w:rPr>
              <w:t>0-</w:t>
            </w:r>
            <w:r>
              <w:rPr>
                <w:rFonts w:hint="eastAsia" w:asciiTheme="minorEastAsia" w:hAnsiTheme="minorEastAsia"/>
                <w:color w:val="000000" w:themeColor="text1"/>
                <w:sz w:val="24"/>
                <w14:textFill>
                  <w14:solidFill>
                    <w14:schemeClr w14:val="tx1"/>
                  </w14:solidFill>
                </w14:textFill>
              </w:rPr>
              <w:t>1分。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r>
      <w:tr>
        <w:tblPrEx>
          <w:tblCellMar>
            <w:top w:w="0" w:type="dxa"/>
            <w:left w:w="108" w:type="dxa"/>
            <w:bottom w:w="0" w:type="dxa"/>
            <w:right w:w="108" w:type="dxa"/>
          </w:tblCellMar>
        </w:tblPrEx>
        <w:trPr>
          <w:trHeight w:val="567"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服务人员</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各类人员配备齐全，人员素质高、技术强、学历相当，学历证书、职称证书、上岗证书等具备，人员培训、录用、考核措施得当，标准规范。0-</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.5分。未提供不得分。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5</w:t>
            </w:r>
            <w:r>
              <w:rPr>
                <w:rFonts w:hint="eastAsia" w:asciiTheme="minorEastAsia" w:hAnsiTheme="minorEastAsia"/>
                <w:color w:val="000000" w:themeColor="text1"/>
                <w:sz w:val="24"/>
                <w14:textFill>
                  <w14:solidFill>
                    <w14:schemeClr w14:val="tx1"/>
                  </w14:solidFill>
                </w14:textFill>
              </w:rPr>
              <w:t>.5</w:t>
            </w:r>
          </w:p>
        </w:tc>
      </w:tr>
      <w:tr>
        <w:tblPrEx>
          <w:tblCellMar>
            <w:top w:w="0" w:type="dxa"/>
            <w:left w:w="108" w:type="dxa"/>
            <w:bottom w:w="0" w:type="dxa"/>
            <w:right w:w="108" w:type="dxa"/>
          </w:tblCellMar>
        </w:tblPrEx>
        <w:trPr>
          <w:trHeight w:val="20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continue"/>
            <w:tcBorders>
              <w:top w:val="single" w:color="auto" w:sz="4" w:space="0"/>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sz w:val="24"/>
                <w14:textFill>
                  <w14:solidFill>
                    <w14:schemeClr w14:val="tx1"/>
                  </w14:solidFill>
                </w14:textFill>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项目经理：具备本科及以上学历证书得1分；具备注册安全工程师证的得2分；具有物业经理上岗证得1分。</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r>
      <w:tr>
        <w:tblPrEx>
          <w:tblCellMar>
            <w:top w:w="0" w:type="dxa"/>
            <w:left w:w="108" w:type="dxa"/>
            <w:bottom w:w="0" w:type="dxa"/>
            <w:right w:w="108" w:type="dxa"/>
          </w:tblCellMar>
        </w:tblPrEx>
        <w:trPr>
          <w:trHeight w:val="226"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continue"/>
            <w:tcBorders>
              <w:top w:val="single" w:color="auto" w:sz="4" w:space="0"/>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sz w:val="24"/>
                <w14:textFill>
                  <w14:solidFill>
                    <w14:schemeClr w14:val="tx1"/>
                  </w14:solidFill>
                </w14:textFill>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安保人员：安保主管年龄45周岁及以下同时具有大专及以上学历的得1分，具有市级及以上人力资源和社会保障部门评定的保安员职业资格证书二级及以上得1分；其余四名安保人员年龄45周岁及以下的得2分（按照每名0.5分来计算）。</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提供以上人员在截止开标之日起近3个月社保缴纳证明。</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r>
      <w:tr>
        <w:tblPrEx>
          <w:tblCellMar>
            <w:top w:w="0" w:type="dxa"/>
            <w:left w:w="108" w:type="dxa"/>
            <w:bottom w:w="0" w:type="dxa"/>
            <w:right w:w="108" w:type="dxa"/>
          </w:tblCellMar>
        </w:tblPrEx>
        <w:trPr>
          <w:trHeight w:val="165"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服务的</w:t>
            </w:r>
          </w:p>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应急措施</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对物业突发事件（包括发生台风、暴雨等灾害性天气及其突发事件）时的应急预案及相应的措施</w:t>
            </w:r>
            <w:r>
              <w:rPr>
                <w:rFonts w:hint="eastAsia" w:asciiTheme="minorEastAsia" w:hAnsiTheme="minorEastAsia"/>
                <w:color w:val="000000" w:themeColor="text1"/>
                <w:sz w:val="24"/>
                <w:lang w:val="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方案逻辑清晰、内容完整、措施切实可行视为满足，满足</w:t>
            </w:r>
            <w:r>
              <w:rPr>
                <w:rFonts w:hint="eastAsia" w:asciiTheme="minorEastAsia" w:hAnsiTheme="minorEastAsia"/>
                <w:color w:val="000000" w:themeColor="text1"/>
                <w:sz w:val="24"/>
                <w:lang w:val="zh-CN"/>
                <w14:textFill>
                  <w14:solidFill>
                    <w14:schemeClr w14:val="tx1"/>
                  </w14:solidFill>
                </w14:textFill>
              </w:rPr>
              <w:t>得</w:t>
            </w:r>
            <w:r>
              <w:rPr>
                <w:rFonts w:asciiTheme="minorEastAsia" w:hAnsiTheme="minorEastAsia"/>
                <w:color w:val="000000" w:themeColor="text1"/>
                <w:sz w:val="24"/>
                <w14:textFill>
                  <w14:solidFill>
                    <w14:schemeClr w14:val="tx1"/>
                  </w14:solidFill>
                </w14:textFill>
              </w:rPr>
              <w:t>3</w:t>
            </w:r>
            <w:r>
              <w:rPr>
                <w:rFonts w:hint="eastAsia" w:asciiTheme="minorEastAsia" w:hAnsiTheme="minorEastAsia"/>
                <w:color w:val="000000" w:themeColor="text1"/>
                <w:sz w:val="24"/>
                <w:lang w:val="zh-CN"/>
                <w14:textFill>
                  <w14:solidFill>
                    <w14:schemeClr w14:val="tx1"/>
                  </w14:solidFill>
                </w14:textFill>
              </w:rPr>
              <w:t>分。</w:t>
            </w:r>
          </w:p>
        </w:tc>
        <w:tc>
          <w:tcPr>
            <w:tcW w:w="808"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3</w:t>
            </w:r>
          </w:p>
        </w:tc>
      </w:tr>
      <w:tr>
        <w:tblPrEx>
          <w:tblCellMar>
            <w:top w:w="0" w:type="dxa"/>
            <w:left w:w="108" w:type="dxa"/>
            <w:bottom w:w="0" w:type="dxa"/>
            <w:right w:w="108" w:type="dxa"/>
          </w:tblCellMar>
        </w:tblPrEx>
        <w:trPr>
          <w:trHeight w:val="209"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continue"/>
            <w:tcBorders>
              <w:top w:val="single" w:color="auto" w:sz="4" w:space="0"/>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sz w:val="24"/>
                <w14:textFill>
                  <w14:solidFill>
                    <w14:schemeClr w14:val="tx1"/>
                  </w14:solidFill>
                </w14:textFill>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对物业管理区域内的防盗、防火的安全防范巡查、应急供电系统、给排水设备、电气照明装置等设备应急检修措施等</w:t>
            </w:r>
            <w:r>
              <w:rPr>
                <w:rFonts w:hint="eastAsia" w:asciiTheme="minorEastAsia" w:hAnsiTheme="minorEastAsia"/>
                <w:color w:val="000000" w:themeColor="text1"/>
                <w:sz w:val="24"/>
                <w:lang w:val="zh-CN"/>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方案逻辑清晰、内容完整、措施切实可行视为满足，满足</w:t>
            </w:r>
            <w:r>
              <w:rPr>
                <w:rFonts w:hint="eastAsia" w:asciiTheme="minorEastAsia" w:hAnsiTheme="minorEastAsia"/>
                <w:color w:val="000000" w:themeColor="text1"/>
                <w:sz w:val="24"/>
                <w:lang w:val="zh-CN"/>
                <w14:textFill>
                  <w14:solidFill>
                    <w14:schemeClr w14:val="tx1"/>
                  </w14:solidFill>
                </w14:textFill>
              </w:rPr>
              <w:t>得</w:t>
            </w:r>
            <w:r>
              <w:rPr>
                <w:rFonts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zh-CN"/>
                <w14:textFill>
                  <w14:solidFill>
                    <w14:schemeClr w14:val="tx1"/>
                  </w14:solidFill>
                </w14:textFill>
              </w:rPr>
              <w:t>分</w:t>
            </w:r>
            <w:r>
              <w:rPr>
                <w:rFonts w:hint="eastAsia" w:asciiTheme="minorEastAsia" w:hAnsiTheme="minorEastAsia"/>
                <w:color w:val="000000" w:themeColor="text1"/>
                <w:sz w:val="24"/>
                <w14:textFill>
                  <w14:solidFill>
                    <w14:schemeClr w14:val="tx1"/>
                  </w14:solidFill>
                </w14:textFill>
              </w:rPr>
              <w:t>。</w:t>
            </w:r>
          </w:p>
        </w:tc>
        <w:tc>
          <w:tcPr>
            <w:tcW w:w="808"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w:t>
            </w:r>
          </w:p>
        </w:tc>
      </w:tr>
      <w:tr>
        <w:tblPrEx>
          <w:tblCellMar>
            <w:top w:w="0" w:type="dxa"/>
            <w:left w:w="108" w:type="dxa"/>
            <w:bottom w:w="0" w:type="dxa"/>
            <w:right w:w="108" w:type="dxa"/>
          </w:tblCellMar>
        </w:tblPrEx>
        <w:trPr>
          <w:trHeight w:val="11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vMerge w:val="continue"/>
            <w:tcBorders>
              <w:top w:val="single" w:color="auto" w:sz="4" w:space="0"/>
              <w:left w:val="single" w:color="auto" w:sz="4" w:space="0"/>
              <w:bottom w:val="single" w:color="auto" w:sz="4" w:space="0"/>
              <w:right w:val="single" w:color="auto" w:sz="4" w:space="0"/>
            </w:tcBorders>
          </w:tcPr>
          <w:p>
            <w:pPr>
              <w:spacing w:line="300" w:lineRule="auto"/>
              <w:jc w:val="center"/>
              <w:rPr>
                <w:rFonts w:asciiTheme="minorEastAsia" w:hAnsiTheme="minorEastAsia"/>
                <w:b/>
                <w:bCs/>
                <w:color w:val="000000" w:themeColor="text1"/>
                <w:sz w:val="24"/>
                <w14:textFill>
                  <w14:solidFill>
                    <w14:schemeClr w14:val="tx1"/>
                  </w14:solidFill>
                </w14:textFill>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对物业管理区域内重大活动的应急保障预案，方案逻辑清晰、内容完整、措施切实可行视为满足，满足</w:t>
            </w:r>
            <w:r>
              <w:rPr>
                <w:rFonts w:hint="eastAsia" w:asciiTheme="minorEastAsia" w:hAnsiTheme="minorEastAsia"/>
                <w:color w:val="000000" w:themeColor="text1"/>
                <w:sz w:val="24"/>
                <w:lang w:val="zh-CN"/>
                <w14:textFill>
                  <w14:solidFill>
                    <w14:schemeClr w14:val="tx1"/>
                  </w14:solidFill>
                </w14:textFill>
              </w:rPr>
              <w:t>得</w:t>
            </w:r>
            <w:r>
              <w:rPr>
                <w:rFonts w:asciiTheme="minorEastAsia" w:hAnsiTheme="minorEastAsia"/>
                <w:color w:val="000000" w:themeColor="text1"/>
                <w:sz w:val="24"/>
                <w14:textFill>
                  <w14:solidFill>
                    <w14:schemeClr w14:val="tx1"/>
                  </w14:solidFill>
                </w14:textFill>
              </w:rPr>
              <w:t>2</w:t>
            </w:r>
            <w:r>
              <w:rPr>
                <w:rFonts w:hint="eastAsia" w:asciiTheme="minorEastAsia" w:hAnsiTheme="minorEastAsia"/>
                <w:color w:val="000000" w:themeColor="text1"/>
                <w:sz w:val="24"/>
                <w:lang w:val="zh-CN"/>
                <w14:textFill>
                  <w14:solidFill>
                    <w14:schemeClr w14:val="tx1"/>
                  </w14:solidFill>
                </w14:textFill>
              </w:rPr>
              <w:t>分</w:t>
            </w:r>
            <w:r>
              <w:rPr>
                <w:rFonts w:hint="eastAsia" w:asciiTheme="minorEastAsia" w:hAnsiTheme="minorEastAsia"/>
                <w:color w:val="000000" w:themeColor="text1"/>
                <w:sz w:val="24"/>
                <w14:textFill>
                  <w14:solidFill>
                    <w14:schemeClr w14:val="tx1"/>
                  </w14:solidFill>
                </w14:textFill>
              </w:rPr>
              <w:t>。</w:t>
            </w:r>
          </w:p>
        </w:tc>
        <w:tc>
          <w:tcPr>
            <w:tcW w:w="808" w:type="dxa"/>
            <w:tcBorders>
              <w:top w:val="single" w:color="auto" w:sz="4" w:space="0"/>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w:t>
            </w:r>
          </w:p>
        </w:tc>
      </w:tr>
      <w:tr>
        <w:tblPrEx>
          <w:tblCellMar>
            <w:top w:w="0" w:type="dxa"/>
            <w:left w:w="108" w:type="dxa"/>
            <w:bottom w:w="0" w:type="dxa"/>
            <w:right w:w="108" w:type="dxa"/>
          </w:tblCellMar>
        </w:tblPrEx>
        <w:trPr>
          <w:trHeight w:val="946"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优惠承诺和特色服务情况</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是否给出优惠和承诺，是否具有特色服务，提供有效证明材料和采购机构提供的相关数据。优惠和承诺切实可行、特色服务反馈理想视为满足，</w:t>
            </w:r>
            <w:r>
              <w:rPr>
                <w:rFonts w:hint="eastAsia" w:asciiTheme="minorEastAsia" w:hAnsiTheme="minorEastAsia"/>
                <w:color w:val="000000" w:themeColor="text1"/>
                <w:sz w:val="24"/>
                <w:lang w:val="zh-CN"/>
                <w14:textFill>
                  <w14:solidFill>
                    <w14:schemeClr w14:val="tx1"/>
                  </w14:solidFill>
                </w14:textFill>
              </w:rPr>
              <w:t>每一项</w:t>
            </w:r>
            <w:r>
              <w:rPr>
                <w:rFonts w:hint="eastAsia" w:asciiTheme="minorEastAsia" w:hAnsiTheme="minorEastAsia"/>
                <w:color w:val="000000" w:themeColor="text1"/>
                <w:sz w:val="24"/>
                <w14:textFill>
                  <w14:solidFill>
                    <w14:schemeClr w14:val="tx1"/>
                  </w14:solidFill>
                </w14:textFill>
              </w:rPr>
              <w:t>满足</w:t>
            </w:r>
            <w:r>
              <w:rPr>
                <w:rFonts w:hint="eastAsia" w:asciiTheme="minorEastAsia" w:hAnsiTheme="minorEastAsia"/>
                <w:color w:val="000000" w:themeColor="text1"/>
                <w:sz w:val="24"/>
                <w:lang w:val="zh-CN"/>
                <w14:textFill>
                  <w14:solidFill>
                    <w14:schemeClr w14:val="tx1"/>
                  </w14:solidFill>
                </w14:textFill>
              </w:rPr>
              <w:t>得</w:t>
            </w:r>
            <w:r>
              <w:rPr>
                <w:rFonts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lang w:val="zh-CN"/>
                <w14:textFill>
                  <w14:solidFill>
                    <w14:schemeClr w14:val="tx1"/>
                  </w14:solidFill>
                </w14:textFill>
              </w:rPr>
              <w:t>分，</w:t>
            </w:r>
            <w:r>
              <w:rPr>
                <w:rFonts w:hint="eastAsia" w:asciiTheme="minorEastAsia" w:hAnsiTheme="minorEastAsia"/>
                <w:color w:val="000000" w:themeColor="text1"/>
                <w:sz w:val="24"/>
                <w14:textFill>
                  <w14:solidFill>
                    <w14:schemeClr w14:val="tx1"/>
                  </w14:solidFill>
                </w14:textFill>
              </w:rPr>
              <w:t>不满足</w:t>
            </w:r>
            <w:r>
              <w:rPr>
                <w:rFonts w:hint="eastAsia" w:asciiTheme="minorEastAsia" w:hAnsiTheme="minorEastAsia"/>
                <w:color w:val="000000" w:themeColor="text1"/>
                <w:sz w:val="24"/>
                <w:lang w:val="zh-CN"/>
                <w14:textFill>
                  <w14:solidFill>
                    <w14:schemeClr w14:val="tx1"/>
                  </w14:solidFill>
                </w14:textFill>
              </w:rPr>
              <w:t>不得分</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zh-CN"/>
                <w14:textFill>
                  <w14:solidFill>
                    <w14:schemeClr w14:val="tx1"/>
                  </w14:solidFill>
                </w14:textFill>
              </w:rPr>
              <w:t>最高得</w:t>
            </w:r>
            <w:r>
              <w:rPr>
                <w:rFonts w:asciiTheme="minorEastAsia" w:hAnsiTheme="minorEastAsia"/>
                <w:color w:val="000000" w:themeColor="text1"/>
                <w:sz w:val="24"/>
                <w14:textFill>
                  <w14:solidFill>
                    <w14:schemeClr w14:val="tx1"/>
                  </w14:solidFill>
                </w14:textFill>
              </w:rPr>
              <w:t>3</w:t>
            </w:r>
            <w:r>
              <w:rPr>
                <w:rFonts w:hint="eastAsia" w:asciiTheme="minorEastAsia" w:hAnsiTheme="minorEastAsia"/>
                <w:color w:val="000000" w:themeColor="text1"/>
                <w:sz w:val="24"/>
                <w:lang w:val="zh-CN"/>
                <w14:textFill>
                  <w14:solidFill>
                    <w14:schemeClr w14:val="tx1"/>
                  </w14:solidFill>
                </w14:textFill>
              </w:rPr>
              <w:t>分</w:t>
            </w:r>
            <w:r>
              <w:rPr>
                <w:rFonts w:hint="eastAsia" w:asciiTheme="minorEastAsia" w:hAnsiTheme="minorEastAsia"/>
                <w:color w:val="000000" w:themeColor="text1"/>
                <w:sz w:val="24"/>
                <w14:textFill>
                  <w14:solidFill>
                    <w14:schemeClr w14:val="tx1"/>
                  </w14:solidFill>
                </w14:textFill>
              </w:rPr>
              <w:t>。</w:t>
            </w:r>
          </w:p>
        </w:tc>
        <w:tc>
          <w:tcPr>
            <w:tcW w:w="808" w:type="dxa"/>
            <w:tcBorders>
              <w:top w:val="nil"/>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3</w:t>
            </w:r>
          </w:p>
        </w:tc>
      </w:tr>
      <w:tr>
        <w:tblPrEx>
          <w:tblCellMar>
            <w:top w:w="0" w:type="dxa"/>
            <w:left w:w="108" w:type="dxa"/>
            <w:bottom w:w="0" w:type="dxa"/>
            <w:right w:w="108" w:type="dxa"/>
          </w:tblCellMar>
        </w:tblPrEx>
        <w:trPr>
          <w:trHeight w:val="416" w:hRule="atLeast"/>
          <w:jc w:val="center"/>
        </w:trPr>
        <w:tc>
          <w:tcPr>
            <w:tcW w:w="1254" w:type="dxa"/>
            <w:vMerge w:val="restar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实力信誉及业绩</w:t>
            </w:r>
          </w:p>
          <w:p>
            <w:pPr>
              <w:pStyle w:val="2"/>
              <w:spacing w:line="30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12</w:t>
            </w:r>
            <w:r>
              <w:rPr>
                <w:rFonts w:hint="eastAsia" w:asciiTheme="minorEastAsia" w:hAnsiTheme="minorEastAsia" w:cstheme="minorEastAsia"/>
                <w:b/>
                <w:bCs/>
                <w:color w:val="000000" w:themeColor="text1"/>
                <w:sz w:val="24"/>
                <w:szCs w:val="24"/>
                <w14:textFill>
                  <w14:solidFill>
                    <w14:schemeClr w14:val="tx1"/>
                  </w14:solidFill>
                </w14:textFill>
              </w:rPr>
              <w:t>分</w:t>
            </w:r>
          </w:p>
        </w:tc>
        <w:tc>
          <w:tcPr>
            <w:tcW w:w="1335" w:type="dxa"/>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投标人状况</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201</w:t>
            </w:r>
            <w:r>
              <w:rPr>
                <w:rFonts w:asciiTheme="minorEastAsia" w:hAnsiTheme="minorEastAsia"/>
                <w:color w:val="000000" w:themeColor="text1"/>
                <w:sz w:val="24"/>
                <w14:textFill>
                  <w14:solidFill>
                    <w14:schemeClr w14:val="tx1"/>
                  </w14:solidFill>
                </w14:textFill>
              </w:rPr>
              <w:t>8</w:t>
            </w:r>
            <w:r>
              <w:rPr>
                <w:rFonts w:hint="eastAsia" w:asciiTheme="minorEastAsia" w:hAnsiTheme="minorEastAsia"/>
                <w:color w:val="000000" w:themeColor="text1"/>
                <w:sz w:val="24"/>
                <w14:textFill>
                  <w14:solidFill>
                    <w14:schemeClr w14:val="tx1"/>
                  </w14:solidFill>
                </w14:textFill>
              </w:rPr>
              <w:t>年以来，投标人获得由省级及以上行业主管部门认定的物业服务企业信用等级证书，AAA级的得5分，AA级的得3分，A级的得1分。以最高荣誉计取，不可累计得分。</w:t>
            </w:r>
          </w:p>
          <w:p>
            <w:pPr>
              <w:spacing w:line="300" w:lineRule="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投标人所管理的物业项目（非住宅）获得物业管理行业行政主管部门颁发的荣誉：国家级荣誉得5分，省级得3分，市级得1分。以最高荣誉计取，不可累计得分。</w:t>
            </w:r>
          </w:p>
        </w:tc>
        <w:tc>
          <w:tcPr>
            <w:tcW w:w="808" w:type="dxa"/>
            <w:tcBorders>
              <w:top w:val="nil"/>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10</w:t>
            </w:r>
          </w:p>
        </w:tc>
      </w:tr>
      <w:tr>
        <w:tblPrEx>
          <w:tblCellMar>
            <w:top w:w="0" w:type="dxa"/>
            <w:left w:w="108" w:type="dxa"/>
            <w:bottom w:w="0" w:type="dxa"/>
            <w:right w:w="108" w:type="dxa"/>
          </w:tblCellMar>
        </w:tblPrEx>
        <w:trPr>
          <w:trHeight w:val="810"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stheme="minorEastAsia"/>
                <w:color w:val="000000" w:themeColor="text1"/>
                <w:sz w:val="24"/>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项目业绩</w:t>
            </w:r>
          </w:p>
        </w:tc>
        <w:tc>
          <w:tcPr>
            <w:tcW w:w="5565"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201</w:t>
            </w:r>
            <w:r>
              <w:rPr>
                <w:rFonts w:cs="宋体" w:asciiTheme="minorEastAsia" w:hAnsiTheme="minorEastAsia"/>
                <w:color w:val="000000" w:themeColor="text1"/>
                <w:sz w:val="24"/>
                <w14:textFill>
                  <w14:solidFill>
                    <w14:schemeClr w14:val="tx1"/>
                  </w14:solidFill>
                </w14:textFill>
              </w:rPr>
              <w:t>8</w:t>
            </w:r>
            <w:r>
              <w:rPr>
                <w:rFonts w:hint="eastAsia" w:cs="宋体" w:asciiTheme="minorEastAsia" w:hAnsiTheme="minorEastAsia"/>
                <w:color w:val="000000" w:themeColor="text1"/>
                <w:sz w:val="24"/>
                <w14:textFill>
                  <w14:solidFill>
                    <w14:schemeClr w14:val="tx1"/>
                  </w14:solidFill>
                </w14:textFill>
              </w:rPr>
              <w:t>年以来（以合同签订时间为准），投标人管理过公检法类似项目，每提供一个合同得</w:t>
            </w:r>
            <w:r>
              <w:rPr>
                <w:rFonts w:cs="宋体" w:asciiTheme="minorEastAsia" w:hAnsiTheme="minorEastAsia"/>
                <w:color w:val="000000" w:themeColor="text1"/>
                <w:spacing w:val="-2"/>
                <w:sz w:val="24"/>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分，最高得</w:t>
            </w:r>
            <w:r>
              <w:rPr>
                <w:rFonts w:cs="宋体" w:asciiTheme="minorEastAsia" w:hAnsiTheme="minorEastAsia"/>
                <w:color w:val="000000" w:themeColor="text1"/>
                <w:sz w:val="24"/>
                <w14:textFill>
                  <w14:solidFill>
                    <w14:schemeClr w14:val="tx1"/>
                  </w14:solidFill>
                </w14:textFill>
              </w:rPr>
              <w:t>2</w:t>
            </w:r>
            <w:r>
              <w:rPr>
                <w:rFonts w:hint="eastAsia" w:cs="宋体" w:asciiTheme="minorEastAsia" w:hAnsiTheme="minorEastAsia"/>
                <w:color w:val="000000" w:themeColor="text1"/>
                <w:sz w:val="24"/>
                <w14:textFill>
                  <w14:solidFill>
                    <w14:schemeClr w14:val="tx1"/>
                  </w14:solidFill>
                </w14:textFill>
              </w:rPr>
              <w:t>分。</w:t>
            </w:r>
          </w:p>
        </w:tc>
        <w:tc>
          <w:tcPr>
            <w:tcW w:w="808" w:type="dxa"/>
            <w:tcBorders>
              <w:top w:val="nil"/>
              <w:left w:val="nil"/>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w:t>
            </w:r>
          </w:p>
        </w:tc>
      </w:tr>
      <w:tr>
        <w:tblPrEx>
          <w:tblCellMar>
            <w:top w:w="0" w:type="dxa"/>
            <w:left w:w="108" w:type="dxa"/>
            <w:bottom w:w="0" w:type="dxa"/>
            <w:right w:w="108" w:type="dxa"/>
          </w:tblCellMar>
        </w:tblPrEx>
        <w:trPr>
          <w:trHeight w:val="857" w:hRule="atLeast"/>
          <w:jc w:val="center"/>
        </w:trPr>
        <w:tc>
          <w:tcPr>
            <w:tcW w:w="1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Theme="minorEastAsia" w:hAnsiTheme="minorEastAsia" w:cstheme="minorEastAsia"/>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价格20分</w:t>
            </w:r>
          </w:p>
        </w:tc>
        <w:tc>
          <w:tcPr>
            <w:tcW w:w="69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以合格投标人/供应商有效总报价中的最低价为基准价，基准价为</w:t>
            </w:r>
            <w:r>
              <w:rPr>
                <w:rFonts w:hint="eastAsia" w:cs="宋体" w:asciiTheme="minorEastAsia" w:hAnsiTheme="minorEastAsia"/>
                <w:color w:val="000000" w:themeColor="text1"/>
                <w:sz w:val="24"/>
                <w:u w:val="single"/>
                <w14:textFill>
                  <w14:solidFill>
                    <w14:schemeClr w14:val="tx1"/>
                  </w14:solidFill>
                </w14:textFill>
              </w:rPr>
              <w:t>2</w:t>
            </w:r>
            <w:r>
              <w:rPr>
                <w:rFonts w:cs="宋体" w:asciiTheme="minorEastAsia" w:hAnsiTheme="minorEastAsia"/>
                <w:color w:val="000000" w:themeColor="text1"/>
                <w:sz w:val="24"/>
                <w:u w:val="single"/>
                <w14:textFill>
                  <w14:solidFill>
                    <w14:schemeClr w14:val="tx1"/>
                  </w14:solidFill>
                </w14:textFill>
              </w:rPr>
              <w:t>0</w:t>
            </w:r>
            <w:r>
              <w:rPr>
                <w:rFonts w:hint="eastAsia" w:cs="宋体" w:asciiTheme="minorEastAsia" w:hAnsiTheme="minorEastAsia"/>
                <w:color w:val="000000" w:themeColor="text1"/>
                <w:sz w:val="24"/>
                <w14:textFill>
                  <w14:solidFill>
                    <w14:schemeClr w14:val="tx1"/>
                  </w14:solidFill>
                </w14:textFill>
              </w:rPr>
              <w:t>分。报价得分＝（评标基准价/最终报价）</w:t>
            </w:r>
            <w:r>
              <w:rPr>
                <w:rFonts w:hint="eastAsia" w:cs="宋体" w:asciiTheme="minorEastAsia" w:hAnsiTheme="minorEastAsia"/>
                <w:bCs/>
                <w:color w:val="000000" w:themeColor="text1"/>
                <w:sz w:val="24"/>
                <w14:textFill>
                  <w14:solidFill>
                    <w14:schemeClr w14:val="tx1"/>
                  </w14:solidFill>
                </w14:textFill>
              </w:rPr>
              <w:t>×2</w:t>
            </w:r>
            <w:r>
              <w:rPr>
                <w:rFonts w:cs="宋体" w:asciiTheme="minorEastAsia" w:hAnsiTheme="minorEastAsia"/>
                <w:color w:val="000000" w:themeColor="text1"/>
                <w:kern w:val="0"/>
                <w:sz w:val="24"/>
                <w14:textFill>
                  <w14:solidFill>
                    <w14:schemeClr w14:val="tx1"/>
                  </w14:solidFill>
                </w14:textFill>
              </w:rPr>
              <w:t>0</w:t>
            </w:r>
            <w:r>
              <w:rPr>
                <w:rFonts w:hint="eastAsia" w:cs="宋体" w:asciiTheme="minorEastAsia" w:hAnsiTheme="minorEastAsia"/>
                <w:color w:val="000000" w:themeColor="text1"/>
                <w:kern w:val="0"/>
                <w:sz w:val="24"/>
                <w14:textFill>
                  <w14:solidFill>
                    <w14:schemeClr w14:val="tx1"/>
                  </w14:solidFill>
                </w14:textFill>
              </w:rPr>
              <w:t>%</w:t>
            </w:r>
            <w:r>
              <w:rPr>
                <w:rFonts w:hint="eastAsia" w:cs="宋体" w:asciiTheme="minorEastAsia" w:hAnsiTheme="minorEastAsia"/>
                <w:bCs/>
                <w:color w:val="000000" w:themeColor="text1"/>
                <w:sz w:val="24"/>
                <w14:textFill>
                  <w14:solidFill>
                    <w14:schemeClr w14:val="tx1"/>
                  </w14:solidFill>
                </w14:textFill>
              </w:rPr>
              <w:t>×</w:t>
            </w:r>
            <w:r>
              <w:rPr>
                <w:rFonts w:hint="eastAsia" w:cs="宋体" w:asciiTheme="minorEastAsia" w:hAnsiTheme="minorEastAsia"/>
                <w:color w:val="000000" w:themeColor="text1"/>
                <w:kern w:val="0"/>
                <w:sz w:val="24"/>
                <w14:textFill>
                  <w14:solidFill>
                    <w14:schemeClr w14:val="tx1"/>
                  </w14:solidFill>
                </w14:textFill>
              </w:rPr>
              <w:t>100</w:t>
            </w:r>
            <w:r>
              <w:rPr>
                <w:rFonts w:hint="eastAsia" w:cs="宋体" w:asciiTheme="minorEastAsia" w:hAnsiTheme="minorEastAsia"/>
                <w:color w:val="000000" w:themeColor="text1"/>
                <w:sz w:val="24"/>
                <w14:textFill>
                  <w14:solidFill>
                    <w14:schemeClr w14:val="tx1"/>
                  </w14:solidFill>
                </w14:textFill>
              </w:rPr>
              <w:t>（小数点后保留2位小数）。注：符合本章第八点政府采购政策的，对报价给予</w:t>
            </w:r>
            <w:r>
              <w:rPr>
                <w:rFonts w:cs="宋体" w:asciiTheme="minorEastAsia" w:hAnsiTheme="minorEastAsia"/>
                <w:color w:val="000000" w:themeColor="text1"/>
                <w:sz w:val="24"/>
                <w:u w:val="single"/>
                <w14:textFill>
                  <w14:solidFill>
                    <w14:schemeClr w14:val="tx1"/>
                  </w14:solidFill>
                </w14:textFill>
              </w:rPr>
              <w:t>10%</w:t>
            </w:r>
            <w:r>
              <w:rPr>
                <w:rFonts w:hint="eastAsia" w:cs="宋体" w:asciiTheme="minorEastAsia" w:hAnsiTheme="minorEastAsia"/>
                <w:color w:val="000000" w:themeColor="text1"/>
                <w:sz w:val="24"/>
                <w14:textFill>
                  <w14:solidFill>
                    <w14:schemeClr w14:val="tx1"/>
                  </w14:solidFill>
                </w14:textFill>
              </w:rPr>
              <w:t>的价格扣除，用扣除后的价格参与评审。</w:t>
            </w: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20</w:t>
            </w:r>
          </w:p>
        </w:tc>
      </w:tr>
    </w:tbl>
    <w:p>
      <w:pPr>
        <w:spacing w:line="360" w:lineRule="auto"/>
        <w:rPr>
          <w:b/>
          <w:bCs/>
        </w:rPr>
      </w:pPr>
    </w:p>
    <w:p>
      <w:pPr>
        <w:spacing w:line="360" w:lineRule="auto"/>
      </w:pPr>
      <w:r>
        <w:rPr>
          <w:rFonts w:hint="eastAsia"/>
          <w:b/>
          <w:bCs/>
        </w:rPr>
        <w:t>注</w:t>
      </w:r>
      <w:r>
        <w:rPr>
          <w:rFonts w:hint="eastAsia"/>
        </w:rPr>
        <w:t>：①请扫描上传合同、证书、报告及其他相关证明材料的原件至投标文件，并加盖公章。</w:t>
      </w:r>
    </w:p>
    <w:p>
      <w:pPr>
        <w:pStyle w:val="10"/>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5"/>
      </w:pPr>
    </w:p>
    <w:p>
      <w:pPr>
        <w:pStyle w:val="3"/>
      </w:pPr>
      <w:bookmarkStart w:id="51" w:name="_Toc24542"/>
      <w:r>
        <w:rPr>
          <w:rFonts w:hint="eastAsia"/>
        </w:rPr>
        <w:t>拟签订的合同文本</w:t>
      </w:r>
      <w:bookmarkEnd w:id="51"/>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0"/>
        <w:snapToGrid w:val="0"/>
        <w:spacing w:line="360" w:lineRule="auto"/>
        <w:rPr>
          <w:rFonts w:hAnsi="宋体"/>
          <w:sz w:val="24"/>
        </w:rPr>
      </w:pPr>
      <w:r>
        <w:rPr>
          <w:rFonts w:hAnsi="宋体"/>
          <w:sz w:val="24"/>
        </w:rPr>
        <w:t>项目名称：                                项目编号：</w:t>
      </w:r>
    </w:p>
    <w:p>
      <w:pPr>
        <w:pStyle w:val="10"/>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0"/>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0"/>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0"/>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0"/>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7"/>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7"/>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7"/>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7"/>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0"/>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0"/>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0"/>
        <w:snapToGrid w:val="0"/>
        <w:spacing w:line="360" w:lineRule="auto"/>
        <w:ind w:firstLine="480" w:firstLineChars="200"/>
        <w:rPr>
          <w:rFonts w:hAnsi="宋体"/>
          <w:sz w:val="24"/>
        </w:rPr>
      </w:pPr>
      <w:r>
        <w:rPr>
          <w:rFonts w:hint="eastAsia" w:hAnsi="宋体"/>
          <w:sz w:val="24"/>
        </w:rPr>
        <w:t>（二）若侵犯,由乙方赔偿甲方因此遭受的损失（包括但不限于应对及追偿过程中所支付的律师费、差旅费、诉讼费、保全费、鉴定费、评估费等）。</w:t>
      </w:r>
    </w:p>
    <w:p>
      <w:pPr>
        <w:pStyle w:val="10"/>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0"/>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0"/>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0"/>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0"/>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0"/>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0"/>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0"/>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0"/>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0"/>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0"/>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0"/>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0"/>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0"/>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0"/>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0"/>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0"/>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0"/>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0"/>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0"/>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0"/>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0"/>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0"/>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0"/>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0"/>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pStyle w:val="3"/>
      </w:pPr>
      <w:bookmarkStart w:id="52" w:name="_Toc20037"/>
      <w:r>
        <w:rPr>
          <w:rFonts w:hint="eastAsia"/>
        </w:rPr>
        <w:t>投标文件格式</w:t>
      </w:r>
      <w:bookmarkEnd w:id="52"/>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53" w:name="_Toc32372_WPSOffice_Level1"/>
      <w:bookmarkStart w:id="54" w:name="_Toc4956_WPSOffice_Level1"/>
      <w:bookmarkStart w:id="55" w:name="_Toc19093_WPSOffice_Level1"/>
      <w:r>
        <w:rPr>
          <w:rFonts w:hint="eastAsia"/>
          <w:sz w:val="52"/>
          <w:szCs w:val="52"/>
        </w:rPr>
        <w:t>项目名称</w:t>
      </w:r>
      <w:bookmarkEnd w:id="53"/>
      <w:bookmarkEnd w:id="54"/>
      <w:bookmarkEnd w:id="55"/>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9"/>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pStyle w:val="2"/>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8"/>
        </w:numPr>
        <w:tabs>
          <w:tab w:val="left" w:pos="718"/>
        </w:tabs>
        <w:spacing w:line="360" w:lineRule="auto"/>
        <w:ind w:hanging="5"/>
        <w:rPr>
          <w:sz w:val="28"/>
          <w:szCs w:val="36"/>
        </w:rPr>
      </w:pPr>
      <w:bookmarkStart w:id="56" w:name="_Toc27049_WPSOffice_Level1"/>
      <w:bookmarkStart w:id="57" w:name="_Toc12587_WPSOffice_Level1"/>
      <w:r>
        <w:rPr>
          <w:rFonts w:hint="eastAsia"/>
          <w:sz w:val="28"/>
          <w:szCs w:val="36"/>
        </w:rPr>
        <w:t>投标声明书（附件1）</w:t>
      </w:r>
      <w:bookmarkEnd w:id="56"/>
      <w:bookmarkEnd w:id="57"/>
    </w:p>
    <w:p>
      <w:pPr>
        <w:numPr>
          <w:ilvl w:val="0"/>
          <w:numId w:val="8"/>
        </w:numPr>
        <w:spacing w:line="360" w:lineRule="auto"/>
        <w:ind w:hanging="5"/>
        <w:rPr>
          <w:sz w:val="28"/>
          <w:szCs w:val="36"/>
        </w:rPr>
      </w:pPr>
      <w:bookmarkStart w:id="58" w:name="_Toc25574_WPSOffice_Level1"/>
      <w:bookmarkStart w:id="59" w:name="_Toc28306_WPSOffice_Level1"/>
      <w:r>
        <w:rPr>
          <w:rFonts w:hint="eastAsia"/>
          <w:sz w:val="28"/>
          <w:szCs w:val="36"/>
        </w:rPr>
        <w:t>授权委托书（法定代表人办理投标事宜的，则无需提交)（附件2）</w:t>
      </w:r>
      <w:bookmarkEnd w:id="58"/>
      <w:bookmarkEnd w:id="59"/>
    </w:p>
    <w:p>
      <w:pPr>
        <w:numPr>
          <w:ilvl w:val="0"/>
          <w:numId w:val="8"/>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8"/>
        </w:numPr>
        <w:spacing w:line="360" w:lineRule="auto"/>
        <w:ind w:hanging="5"/>
        <w:rPr>
          <w:sz w:val="28"/>
          <w:szCs w:val="36"/>
        </w:rPr>
      </w:pPr>
      <w:bookmarkStart w:id="60" w:name="_Toc32100_WPSOffice_Level1"/>
      <w:bookmarkStart w:id="61" w:name="_Toc29616_WPSOffice_Level1"/>
      <w:r>
        <w:rPr>
          <w:rFonts w:hint="eastAsia"/>
          <w:sz w:val="28"/>
          <w:szCs w:val="36"/>
        </w:rPr>
        <w:t>法人或者其他组织的营业执照等证明文件，自然人的身份证明</w:t>
      </w:r>
      <w:bookmarkEnd w:id="60"/>
      <w:bookmarkEnd w:id="61"/>
    </w:p>
    <w:p>
      <w:pPr>
        <w:numPr>
          <w:ilvl w:val="0"/>
          <w:numId w:val="8"/>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8"/>
        </w:numPr>
        <w:spacing w:line="360" w:lineRule="auto"/>
        <w:ind w:hanging="5"/>
      </w:pPr>
      <w:r>
        <w:rPr>
          <w:rFonts w:hint="eastAsia"/>
          <w:sz w:val="28"/>
          <w:szCs w:val="36"/>
        </w:rPr>
        <w:t>提供投标截止日前6个月内任意1个月依法缴纳税收和社会保障资金的相关材料。如依法免税或不需要缴纳社会保障资金的，提供相应证明材料（以联合体形式投标时，联合体各方均须满足该条款）。</w:t>
      </w:r>
    </w:p>
    <w:p>
      <w:pPr>
        <w:numPr>
          <w:ilvl w:val="0"/>
          <w:numId w:val="8"/>
        </w:numPr>
        <w:spacing w:line="360" w:lineRule="auto"/>
        <w:ind w:hanging="5"/>
        <w:rPr>
          <w:sz w:val="28"/>
          <w:szCs w:val="36"/>
        </w:rPr>
      </w:pPr>
      <w:r>
        <w:rPr>
          <w:rFonts w:hint="eastAsia"/>
          <w:sz w:val="28"/>
          <w:szCs w:val="36"/>
        </w:rPr>
        <w:t>提供上一年度财务状况报告或基本开户行出具的资信证明（以联合体形式投标时，联合体各方均须满足该条款）。</w:t>
      </w:r>
      <w:bookmarkStart w:id="62" w:name="_Toc30751_WPSOffice_Level1"/>
      <w:bookmarkStart w:id="63" w:name="_Toc2696_WPSOffice_Level1"/>
    </w:p>
    <w:p>
      <w:pPr>
        <w:numPr>
          <w:ilvl w:val="0"/>
          <w:numId w:val="8"/>
        </w:numPr>
        <w:spacing w:line="360" w:lineRule="auto"/>
        <w:ind w:hanging="5"/>
        <w:rPr>
          <w:sz w:val="28"/>
          <w:szCs w:val="36"/>
        </w:rPr>
      </w:pPr>
      <w:r>
        <w:rPr>
          <w:rFonts w:hint="eastAsia"/>
          <w:sz w:val="28"/>
          <w:szCs w:val="36"/>
        </w:rPr>
        <w:t>具备履行合同所必需的设备和专业技术能力的证明材料</w:t>
      </w:r>
      <w:bookmarkEnd w:id="62"/>
      <w:bookmarkEnd w:id="63"/>
      <w:bookmarkStart w:id="64" w:name="_Toc4587_WPSOffice_Level1"/>
      <w:bookmarkStart w:id="65" w:name="_Toc14150_WPSOffice_Level1"/>
    </w:p>
    <w:p>
      <w:pPr>
        <w:numPr>
          <w:ilvl w:val="0"/>
          <w:numId w:val="8"/>
        </w:numPr>
        <w:spacing w:line="360" w:lineRule="auto"/>
        <w:ind w:hanging="5"/>
        <w:rPr>
          <w:sz w:val="28"/>
          <w:szCs w:val="36"/>
        </w:rPr>
      </w:pPr>
      <w:r>
        <w:rPr>
          <w:rFonts w:hint="eastAsia"/>
          <w:sz w:val="28"/>
          <w:szCs w:val="36"/>
        </w:rPr>
        <w:t>本项目要求的特定资质证书</w:t>
      </w:r>
      <w:bookmarkEnd w:id="64"/>
      <w:bookmarkEnd w:id="65"/>
    </w:p>
    <w:p>
      <w:pPr>
        <w:spacing w:line="360" w:lineRule="auto"/>
        <w:rPr>
          <w:rFonts w:ascii="宋体" w:hAnsi="宋体"/>
          <w:b/>
          <w:sz w:val="28"/>
        </w:rPr>
      </w:pPr>
    </w:p>
    <w:p>
      <w:pPr>
        <w:spacing w:line="360" w:lineRule="auto"/>
        <w:ind w:left="420"/>
        <w:rPr>
          <w:rFonts w:ascii="宋体" w:hAnsi="宋体"/>
          <w:b/>
          <w:sz w:val="28"/>
        </w:rPr>
      </w:pPr>
    </w:p>
    <w:p>
      <w:pPr>
        <w:pStyle w:val="25"/>
        <w:rPr>
          <w:rFonts w:ascii="宋体" w:hAnsi="宋体"/>
          <w:b/>
          <w:sz w:val="28"/>
        </w:rPr>
      </w:pPr>
    </w:p>
    <w:p>
      <w:pPr>
        <w:pStyle w:val="25"/>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
        <w:ind w:firstLine="0"/>
        <w:rPr>
          <w:rFonts w:ascii="宋体" w:hAnsi="宋体"/>
          <w:b/>
          <w:sz w:val="28"/>
        </w:rPr>
      </w:pPr>
    </w:p>
    <w:p>
      <w:pPr>
        <w:pStyle w:val="2"/>
        <w:ind w:firstLine="0"/>
        <w:rPr>
          <w:rFonts w:ascii="宋体" w:hAnsi="宋体"/>
          <w:b/>
          <w:sz w:val="28"/>
        </w:rPr>
      </w:pPr>
    </w:p>
    <w:p>
      <w:pPr>
        <w:rPr>
          <w:rFonts w:ascii="宋体" w:hAnsi="宋体" w:cs="宋体"/>
          <w:b/>
          <w:bCs/>
          <w:sz w:val="28"/>
          <w:szCs w:val="28"/>
        </w:rPr>
      </w:pPr>
      <w:r>
        <w:rPr>
          <w:rFonts w:hint="eastAsia" w:ascii="宋体" w:hAnsi="宋体" w:cs="宋体"/>
          <w:b/>
          <w:bCs/>
          <w:sz w:val="28"/>
          <w:szCs w:val="28"/>
        </w:rPr>
        <w:t>附件1</w:t>
      </w:r>
    </w:p>
    <w:p>
      <w:pPr>
        <w:adjustRightInd w:val="0"/>
        <w:snapToGrid w:val="0"/>
        <w:spacing w:line="312" w:lineRule="auto"/>
        <w:ind w:right="480"/>
        <w:jc w:val="center"/>
        <w:rPr>
          <w:rFonts w:ascii="宋体" w:hAnsi="宋体"/>
          <w:b/>
          <w:kern w:val="0"/>
          <w:sz w:val="32"/>
          <w:szCs w:val="32"/>
          <w:lang w:val="zh-CN"/>
        </w:rPr>
      </w:pPr>
      <w:bookmarkStart w:id="66" w:name="_Toc30723_WPSOffice_Level1"/>
      <w:bookmarkStart w:id="67" w:name="_Toc31708_WPSOffice_Level1"/>
      <w:r>
        <w:rPr>
          <w:rFonts w:hint="eastAsia" w:ascii="宋体" w:hAnsi="宋体"/>
          <w:b/>
          <w:kern w:val="0"/>
          <w:sz w:val="32"/>
          <w:szCs w:val="32"/>
          <w:lang w:val="zh-CN"/>
        </w:rPr>
        <w:t>投标声明书</w:t>
      </w:r>
      <w:bookmarkEnd w:id="66"/>
      <w:bookmarkEnd w:id="67"/>
    </w:p>
    <w:p>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19"/>
        <w:ind w:left="0" w:leftChars="0" w:firstLine="0"/>
      </w:pPr>
    </w:p>
    <w:p>
      <w:pPr>
        <w:pStyle w:val="19"/>
        <w:ind w:left="0" w:leftChars="0" w:firstLine="0"/>
      </w:pP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rPr>
          <w:rFonts w:ascii="宋体" w:hAnsi="宋体" w:cs="宋体"/>
          <w:b/>
          <w:bCs/>
          <w:sz w:val="28"/>
          <w:szCs w:val="28"/>
        </w:rPr>
      </w:pPr>
      <w:r>
        <w:rPr>
          <w:rFonts w:hint="eastAsia" w:ascii="宋体" w:hAnsi="宋体" w:cs="宋体"/>
          <w:b/>
          <w:bCs/>
          <w:sz w:val="28"/>
          <w:szCs w:val="28"/>
        </w:rPr>
        <w:t>附件2</w:t>
      </w:r>
    </w:p>
    <w:p>
      <w:pPr>
        <w:spacing w:line="360" w:lineRule="auto"/>
        <w:ind w:firstLine="321" w:firstLineChars="100"/>
        <w:jc w:val="center"/>
        <w:rPr>
          <w:rFonts w:hAnsi="宋体"/>
          <w:b/>
          <w:sz w:val="32"/>
          <w:szCs w:val="32"/>
          <w:u w:val="single"/>
        </w:rPr>
      </w:pPr>
      <w:bookmarkStart w:id="68" w:name="_Toc6870_WPSOffice_Level1"/>
      <w:bookmarkStart w:id="69" w:name="_Toc24373_WPSOffice_Level1"/>
      <w:r>
        <w:rPr>
          <w:b/>
          <w:sz w:val="32"/>
          <w:szCs w:val="32"/>
        </w:rPr>
        <w:t>授权</w:t>
      </w:r>
      <w:r>
        <w:rPr>
          <w:rFonts w:hint="eastAsia"/>
          <w:b/>
          <w:sz w:val="32"/>
          <w:szCs w:val="32"/>
        </w:rPr>
        <w:t>委托</w:t>
      </w:r>
      <w:r>
        <w:rPr>
          <w:b/>
          <w:sz w:val="32"/>
          <w:szCs w:val="32"/>
        </w:rPr>
        <w:t>书</w:t>
      </w:r>
      <w:bookmarkEnd w:id="68"/>
      <w:bookmarkEnd w:id="69"/>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0"/>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0"/>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0"/>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center"/>
        <w:rPr>
          <w:sz w:val="52"/>
          <w:szCs w:val="52"/>
        </w:rPr>
      </w:pPr>
      <w:bookmarkStart w:id="70" w:name="_Toc16825_WPSOffice_Level1"/>
      <w:bookmarkStart w:id="71" w:name="_Toc12331_WPSOffice_Level1"/>
      <w:bookmarkStart w:id="72" w:name="_Toc26389_WPSOffice_Level1"/>
    </w:p>
    <w:p>
      <w:pPr>
        <w:jc w:val="center"/>
        <w:rPr>
          <w:sz w:val="52"/>
          <w:szCs w:val="52"/>
        </w:rPr>
      </w:pPr>
    </w:p>
    <w:p>
      <w:pPr>
        <w:jc w:val="center"/>
        <w:rPr>
          <w:sz w:val="52"/>
          <w:szCs w:val="52"/>
        </w:rPr>
      </w:pPr>
    </w:p>
    <w:p>
      <w:pPr>
        <w:jc w:val="center"/>
        <w:rPr>
          <w:sz w:val="52"/>
          <w:szCs w:val="52"/>
        </w:rPr>
      </w:pPr>
    </w:p>
    <w:p>
      <w:pPr>
        <w:jc w:val="center"/>
        <w:rPr>
          <w:szCs w:val="52"/>
        </w:rPr>
      </w:pPr>
      <w:r>
        <w:rPr>
          <w:rFonts w:hint="eastAsia"/>
          <w:sz w:val="52"/>
          <w:szCs w:val="52"/>
        </w:rPr>
        <w:t>项目名称</w:t>
      </w:r>
      <w:bookmarkEnd w:id="70"/>
      <w:bookmarkEnd w:id="71"/>
      <w:bookmarkEnd w:id="72"/>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19"/>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2"/>
        <w:ind w:firstLine="0"/>
        <w:rPr>
          <w:rFonts w:ascii="仿宋_GB2312" w:hAnsi="宋体" w:eastAsia="仿宋_GB2312"/>
          <w:b/>
          <w:sz w:val="36"/>
          <w:szCs w:val="36"/>
        </w:rPr>
      </w:pPr>
    </w:p>
    <w:p>
      <w:pPr>
        <w:jc w:val="center"/>
        <w:rPr>
          <w:b/>
          <w:bCs/>
          <w:sz w:val="32"/>
          <w:szCs w:val="32"/>
          <w:lang w:val="zh-CN"/>
        </w:rPr>
      </w:pPr>
      <w:bookmarkStart w:id="73" w:name="_Toc5889_WPSOffice_Level1"/>
      <w:bookmarkStart w:id="74" w:name="_Toc11308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73"/>
      <w:bookmarkEnd w:id="74"/>
    </w:p>
    <w:p>
      <w:pPr>
        <w:spacing w:line="360" w:lineRule="auto"/>
        <w:rPr>
          <w:sz w:val="24"/>
        </w:rPr>
      </w:pPr>
    </w:p>
    <w:p>
      <w:pPr>
        <w:spacing w:line="360" w:lineRule="auto"/>
        <w:ind w:firstLine="562" w:firstLineChars="200"/>
        <w:rPr>
          <w:b/>
          <w:bCs/>
          <w:sz w:val="28"/>
          <w:szCs w:val="28"/>
        </w:rPr>
      </w:pPr>
      <w:bookmarkStart w:id="75" w:name="_Toc21250_WPSOffice_Level1"/>
      <w:bookmarkStart w:id="76" w:name="_Toc20529_WPSOffice_Level1"/>
      <w:r>
        <w:rPr>
          <w:rFonts w:hint="eastAsia"/>
          <w:b/>
          <w:bCs/>
          <w:sz w:val="28"/>
          <w:szCs w:val="28"/>
        </w:rPr>
        <w:t>第一部分  技术方案描述部分</w:t>
      </w:r>
      <w:bookmarkEnd w:id="75"/>
      <w:bookmarkEnd w:id="76"/>
    </w:p>
    <w:p>
      <w:pPr>
        <w:numPr>
          <w:ilvl w:val="0"/>
          <w:numId w:val="10"/>
        </w:numPr>
        <w:spacing w:line="360" w:lineRule="auto"/>
        <w:ind w:left="5" w:firstLine="415"/>
        <w:rPr>
          <w:sz w:val="28"/>
          <w:szCs w:val="28"/>
        </w:rPr>
      </w:pPr>
      <w:r>
        <w:rPr>
          <w:rFonts w:hint="eastAsia"/>
          <w:sz w:val="28"/>
          <w:szCs w:val="28"/>
        </w:rPr>
        <w:t>投标人情况介绍（附件3）</w:t>
      </w:r>
    </w:p>
    <w:p>
      <w:pPr>
        <w:numPr>
          <w:ilvl w:val="0"/>
          <w:numId w:val="10"/>
        </w:numPr>
        <w:spacing w:line="360" w:lineRule="auto"/>
        <w:ind w:left="5" w:firstLine="415"/>
        <w:rPr>
          <w:sz w:val="28"/>
          <w:szCs w:val="28"/>
        </w:rPr>
      </w:pPr>
      <w:r>
        <w:rPr>
          <w:rFonts w:hint="eastAsia"/>
          <w:sz w:val="28"/>
          <w:szCs w:val="28"/>
        </w:rPr>
        <w:t>项目需求的理解与分析</w:t>
      </w:r>
    </w:p>
    <w:p>
      <w:pPr>
        <w:numPr>
          <w:ilvl w:val="0"/>
          <w:numId w:val="10"/>
        </w:numPr>
        <w:spacing w:line="360" w:lineRule="auto"/>
        <w:ind w:left="5" w:firstLine="415"/>
        <w:rPr>
          <w:sz w:val="28"/>
          <w:szCs w:val="28"/>
        </w:rPr>
      </w:pPr>
      <w:r>
        <w:rPr>
          <w:rFonts w:hint="eastAsia"/>
          <w:sz w:val="28"/>
          <w:szCs w:val="28"/>
        </w:rPr>
        <w:t>总体设计（技术、服务）方案</w:t>
      </w:r>
    </w:p>
    <w:p>
      <w:pPr>
        <w:numPr>
          <w:ilvl w:val="0"/>
          <w:numId w:val="10"/>
        </w:numPr>
        <w:spacing w:line="360" w:lineRule="auto"/>
        <w:ind w:left="5" w:firstLine="415"/>
        <w:rPr>
          <w:sz w:val="28"/>
          <w:szCs w:val="28"/>
        </w:rPr>
      </w:pPr>
      <w:r>
        <w:rPr>
          <w:rFonts w:hint="eastAsia"/>
          <w:sz w:val="28"/>
          <w:szCs w:val="28"/>
        </w:rPr>
        <w:t>功能设计方案</w:t>
      </w:r>
    </w:p>
    <w:p>
      <w:pPr>
        <w:numPr>
          <w:ilvl w:val="0"/>
          <w:numId w:val="10"/>
        </w:numPr>
        <w:spacing w:line="360" w:lineRule="auto"/>
        <w:ind w:left="5" w:firstLine="415"/>
        <w:rPr>
          <w:sz w:val="28"/>
          <w:szCs w:val="28"/>
        </w:rPr>
      </w:pPr>
      <w:r>
        <w:rPr>
          <w:rFonts w:hint="eastAsia"/>
          <w:sz w:val="28"/>
          <w:szCs w:val="28"/>
        </w:rPr>
        <w:t>质量保证方案</w:t>
      </w:r>
    </w:p>
    <w:p>
      <w:pPr>
        <w:numPr>
          <w:ilvl w:val="0"/>
          <w:numId w:val="10"/>
        </w:numPr>
        <w:spacing w:line="360" w:lineRule="auto"/>
        <w:ind w:left="5" w:firstLine="415"/>
        <w:rPr>
          <w:sz w:val="28"/>
          <w:szCs w:val="28"/>
        </w:rPr>
      </w:pPr>
      <w:r>
        <w:rPr>
          <w:rFonts w:hint="eastAsia"/>
          <w:sz w:val="28"/>
          <w:szCs w:val="28"/>
        </w:rPr>
        <w:t>项目实施方案</w:t>
      </w:r>
    </w:p>
    <w:p>
      <w:pPr>
        <w:numPr>
          <w:ilvl w:val="0"/>
          <w:numId w:val="10"/>
        </w:numPr>
        <w:spacing w:line="360" w:lineRule="auto"/>
        <w:ind w:left="5" w:firstLine="415"/>
        <w:rPr>
          <w:sz w:val="28"/>
          <w:szCs w:val="28"/>
        </w:rPr>
      </w:pPr>
      <w:r>
        <w:rPr>
          <w:rFonts w:hint="eastAsia"/>
          <w:sz w:val="28"/>
          <w:szCs w:val="28"/>
        </w:rPr>
        <w:t>技术需求响应表（附件4）</w:t>
      </w:r>
    </w:p>
    <w:p>
      <w:pPr>
        <w:numPr>
          <w:ilvl w:val="0"/>
          <w:numId w:val="10"/>
        </w:numPr>
        <w:spacing w:line="360" w:lineRule="auto"/>
        <w:ind w:left="5" w:firstLine="415"/>
        <w:rPr>
          <w:sz w:val="28"/>
          <w:szCs w:val="28"/>
        </w:rPr>
      </w:pPr>
      <w:r>
        <w:rPr>
          <w:rFonts w:hint="eastAsia"/>
          <w:sz w:val="28"/>
          <w:szCs w:val="28"/>
        </w:rPr>
        <w:t>项目实施人员一览表（附件5）</w:t>
      </w:r>
    </w:p>
    <w:p>
      <w:pPr>
        <w:numPr>
          <w:ilvl w:val="0"/>
          <w:numId w:val="10"/>
        </w:numPr>
        <w:spacing w:line="360" w:lineRule="auto"/>
        <w:ind w:left="5" w:firstLine="415"/>
        <w:rPr>
          <w:sz w:val="28"/>
          <w:szCs w:val="28"/>
        </w:rPr>
      </w:pPr>
      <w:r>
        <w:rPr>
          <w:rFonts w:hint="eastAsia"/>
          <w:sz w:val="28"/>
          <w:szCs w:val="28"/>
        </w:rPr>
        <w:t>工程量/原材料、人工费清单（均不含报价）</w:t>
      </w:r>
    </w:p>
    <w:p>
      <w:pPr>
        <w:numPr>
          <w:ilvl w:val="0"/>
          <w:numId w:val="10"/>
        </w:numPr>
        <w:spacing w:line="360" w:lineRule="auto"/>
        <w:ind w:left="5" w:firstLine="415"/>
        <w:rPr>
          <w:sz w:val="28"/>
          <w:szCs w:val="28"/>
        </w:rPr>
      </w:pPr>
      <w:r>
        <w:rPr>
          <w:rFonts w:hint="eastAsia"/>
          <w:sz w:val="28"/>
          <w:szCs w:val="28"/>
        </w:rPr>
        <w:t>项目负责人资格情况表（附件6）</w:t>
      </w:r>
    </w:p>
    <w:p>
      <w:pPr>
        <w:numPr>
          <w:ilvl w:val="0"/>
          <w:numId w:val="10"/>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0"/>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实施服务与保障的能力及方案（包括服务方式、服务网点、技术培训、实施期与运维期服务的内容和措施等）（附件7）</w:t>
      </w:r>
    </w:p>
    <w:p>
      <w:pPr>
        <w:numPr>
          <w:ilvl w:val="0"/>
          <w:numId w:val="10"/>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77" w:name="_Toc30029_WPSOffice_Level1"/>
      <w:bookmarkStart w:id="78" w:name="_Toc20986_WPSOffice_Level1"/>
      <w:r>
        <w:rPr>
          <w:rFonts w:hint="eastAsia"/>
          <w:b/>
          <w:bCs/>
          <w:sz w:val="28"/>
          <w:szCs w:val="28"/>
        </w:rPr>
        <w:t xml:space="preserve">第二部分  </w:t>
      </w:r>
      <w:bookmarkEnd w:id="77"/>
      <w:bookmarkEnd w:id="78"/>
      <w:r>
        <w:rPr>
          <w:rFonts w:hint="eastAsia"/>
          <w:b/>
          <w:bCs/>
          <w:sz w:val="28"/>
          <w:szCs w:val="28"/>
        </w:rPr>
        <w:t>商务响应及其他部分</w:t>
      </w:r>
    </w:p>
    <w:p>
      <w:pPr>
        <w:numPr>
          <w:ilvl w:val="0"/>
          <w:numId w:val="11"/>
        </w:numPr>
        <w:spacing w:line="360" w:lineRule="auto"/>
        <w:ind w:hanging="5"/>
        <w:rPr>
          <w:sz w:val="28"/>
          <w:szCs w:val="28"/>
        </w:rPr>
      </w:pPr>
      <w:r>
        <w:rPr>
          <w:rFonts w:hint="eastAsia"/>
          <w:sz w:val="28"/>
          <w:szCs w:val="28"/>
        </w:rPr>
        <w:t>证书一览表（附件8）</w:t>
      </w:r>
    </w:p>
    <w:p>
      <w:pPr>
        <w:numPr>
          <w:ilvl w:val="0"/>
          <w:numId w:val="11"/>
        </w:numPr>
        <w:spacing w:line="360" w:lineRule="auto"/>
        <w:ind w:hanging="5"/>
        <w:rPr>
          <w:sz w:val="28"/>
          <w:szCs w:val="28"/>
        </w:rPr>
      </w:pPr>
      <w:r>
        <w:rPr>
          <w:rFonts w:hint="eastAsia"/>
          <w:sz w:val="28"/>
          <w:szCs w:val="28"/>
        </w:rPr>
        <w:t>近三年来类似项目的成功案例（附件9）</w:t>
      </w:r>
    </w:p>
    <w:p>
      <w:pPr>
        <w:pStyle w:val="2"/>
        <w:numPr>
          <w:ilvl w:val="0"/>
          <w:numId w:val="11"/>
        </w:numPr>
        <w:spacing w:line="360" w:lineRule="auto"/>
        <w:ind w:hanging="5"/>
        <w:rPr>
          <w:sz w:val="28"/>
          <w:szCs w:val="28"/>
        </w:rPr>
      </w:pPr>
      <w:r>
        <w:rPr>
          <w:rFonts w:hint="eastAsia"/>
          <w:sz w:val="28"/>
          <w:szCs w:val="28"/>
        </w:rPr>
        <w:t>商务需求响应表（附件10）</w:t>
      </w:r>
    </w:p>
    <w:p>
      <w:pPr>
        <w:pStyle w:val="2"/>
        <w:spacing w:line="360" w:lineRule="auto"/>
        <w:ind w:firstLine="480" w:firstLineChars="200"/>
        <w:rPr>
          <w:sz w:val="24"/>
          <w:szCs w:val="24"/>
        </w:rPr>
      </w:pPr>
    </w:p>
    <w:p>
      <w:pPr>
        <w:pStyle w:val="2"/>
        <w:ind w:firstLine="0"/>
        <w:rPr>
          <w:sz w:val="28"/>
          <w:szCs w:val="28"/>
        </w:rPr>
      </w:pPr>
    </w:p>
    <w:p>
      <w:pPr>
        <w:rPr>
          <w:rFonts w:ascii="宋体" w:hAnsi="宋体" w:cs="宋体"/>
          <w:b/>
          <w:bCs/>
          <w:sz w:val="28"/>
          <w:szCs w:val="28"/>
        </w:rPr>
      </w:pPr>
      <w:r>
        <w:rPr>
          <w:rFonts w:hint="eastAsia" w:ascii="宋体" w:hAnsi="宋体" w:cs="宋体"/>
          <w:b/>
          <w:bCs/>
          <w:sz w:val="28"/>
          <w:szCs w:val="28"/>
        </w:rPr>
        <w:t>附件3</w:t>
      </w:r>
    </w:p>
    <w:p>
      <w:pPr>
        <w:pStyle w:val="29"/>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9" w:name="_Toc14261_WPSOffice_Level1"/>
      <w:bookmarkStart w:id="80" w:name="_Toc13307_WPSOffice_Level1"/>
      <w:r>
        <w:rPr>
          <w:rFonts w:hint="eastAsia"/>
          <w:b/>
          <w:sz w:val="32"/>
          <w:szCs w:val="32"/>
        </w:rPr>
        <w:t>投标</w:t>
      </w:r>
      <w:r>
        <w:rPr>
          <w:rFonts w:hint="eastAsia"/>
          <w:b/>
          <w:bCs/>
          <w:sz w:val="32"/>
          <w:szCs w:val="32"/>
        </w:rPr>
        <w:t>人基本情况表</w:t>
      </w:r>
      <w:bookmarkEnd w:id="79"/>
      <w:bookmarkEnd w:id="80"/>
    </w:p>
    <w:tbl>
      <w:tblPr>
        <w:tblStyle w:val="20"/>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bCs/>
              </w:rPr>
              <w:t>1</w:t>
            </w:r>
            <w:r>
              <w:rPr>
                <w:rFonts w:hint="eastAsia"/>
                <w:bCs/>
              </w:rPr>
              <w:t>.</w:t>
            </w:r>
          </w:p>
          <w:p>
            <w:pPr>
              <w:pStyle w:val="29"/>
              <w:shd w:val="clear" w:color="auto" w:fill="FFFFFF"/>
              <w:spacing w:before="0" w:beforeAutospacing="0" w:after="0" w:afterAutospacing="0"/>
              <w:jc w:val="center"/>
              <w:rPr>
                <w:bCs/>
              </w:rPr>
            </w:pPr>
            <w:r>
              <w:rPr>
                <w:rFonts w:hint="eastAsia"/>
                <w:bCs/>
              </w:rPr>
              <w:t>企</w:t>
            </w:r>
          </w:p>
          <w:p>
            <w:pPr>
              <w:pStyle w:val="29"/>
              <w:shd w:val="clear" w:color="auto" w:fill="FFFFFF"/>
              <w:spacing w:before="0" w:beforeAutospacing="0" w:after="0" w:afterAutospacing="0"/>
              <w:jc w:val="center"/>
              <w:rPr>
                <w:bCs/>
              </w:rPr>
            </w:pPr>
            <w:r>
              <w:rPr>
                <w:rFonts w:hint="eastAsia"/>
                <w:bCs/>
              </w:rPr>
              <w:t>业</w:t>
            </w:r>
          </w:p>
          <w:p>
            <w:pPr>
              <w:pStyle w:val="29"/>
              <w:shd w:val="clear" w:color="auto" w:fill="FFFFFF"/>
              <w:spacing w:before="0" w:beforeAutospacing="0" w:after="0" w:afterAutospacing="0"/>
              <w:jc w:val="center"/>
              <w:rPr>
                <w:bCs/>
              </w:rPr>
            </w:pPr>
            <w:r>
              <w:rPr>
                <w:rFonts w:hint="eastAsia"/>
                <w:bCs/>
              </w:rPr>
              <w:t>概</w:t>
            </w:r>
          </w:p>
          <w:p>
            <w:pPr>
              <w:pStyle w:val="29"/>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平方米</w:t>
            </w:r>
          </w:p>
          <w:p>
            <w:pPr>
              <w:pStyle w:val="29"/>
              <w:shd w:val="clear" w:color="auto" w:fill="FFFFFF"/>
              <w:spacing w:before="0" w:beforeAutospacing="0" w:after="0" w:afterAutospacing="0"/>
              <w:jc w:val="center"/>
              <w:rPr>
                <w:bCs/>
              </w:rPr>
            </w:pPr>
            <w:r>
              <w:rPr>
                <w:rFonts w:hint="eastAsia"/>
                <w:bCs/>
              </w:rPr>
              <w:t>□自有</w:t>
            </w:r>
          </w:p>
          <w:p>
            <w:pPr>
              <w:pStyle w:val="29"/>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29"/>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bCs/>
              </w:rPr>
              <w:t>2</w:t>
            </w:r>
            <w:r>
              <w:rPr>
                <w:rFonts w:hint="eastAsia"/>
                <w:bCs/>
              </w:rPr>
              <w:t>．</w:t>
            </w:r>
          </w:p>
          <w:p>
            <w:pPr>
              <w:pStyle w:val="29"/>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29"/>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29"/>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29"/>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29"/>
              <w:spacing w:before="0" w:beforeAutospacing="0" w:after="0" w:afterAutospacing="0"/>
              <w:jc w:val="center"/>
              <w:rPr>
                <w:bCs/>
              </w:rPr>
            </w:pPr>
          </w:p>
        </w:tc>
        <w:tc>
          <w:tcPr>
            <w:tcW w:w="1276" w:type="dxa"/>
            <w:tcMar>
              <w:top w:w="57" w:type="dxa"/>
              <w:left w:w="85" w:type="dxa"/>
              <w:bottom w:w="0" w:type="dxa"/>
              <w:right w:w="85" w:type="dxa"/>
            </w:tcMar>
            <w:vAlign w:val="center"/>
          </w:tcPr>
          <w:p>
            <w:pPr>
              <w:pStyle w:val="29"/>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29"/>
              <w:spacing w:before="0" w:beforeAutospacing="0" w:after="0" w:afterAutospacing="0"/>
              <w:jc w:val="center"/>
              <w:rPr>
                <w:bCs/>
              </w:rPr>
            </w:pPr>
          </w:p>
        </w:tc>
        <w:tc>
          <w:tcPr>
            <w:tcW w:w="933" w:type="dxa"/>
            <w:tcMar>
              <w:top w:w="57" w:type="dxa"/>
              <w:left w:w="85" w:type="dxa"/>
              <w:bottom w:w="0" w:type="dxa"/>
              <w:right w:w="85" w:type="dxa"/>
            </w:tcMar>
            <w:vAlign w:val="center"/>
          </w:tcPr>
          <w:p>
            <w:pPr>
              <w:pStyle w:val="29"/>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29"/>
              <w:shd w:val="clear" w:color="auto" w:fill="FFFFFF"/>
              <w:spacing w:before="0" w:beforeAutospacing="0" w:after="0" w:afterAutospacing="0"/>
              <w:jc w:val="center"/>
              <w:rPr>
                <w:bCs/>
              </w:rPr>
            </w:pPr>
          </w:p>
        </w:tc>
      </w:tr>
    </w:tbl>
    <w:p>
      <w:pPr>
        <w:pStyle w:val="29"/>
        <w:shd w:val="clear" w:color="auto" w:fill="FFFFFF"/>
        <w:spacing w:before="0" w:beforeAutospacing="0" w:after="0" w:afterAutospacing="0" w:line="360" w:lineRule="auto"/>
        <w:rPr>
          <w:b/>
          <w:sz w:val="21"/>
          <w:szCs w:val="21"/>
        </w:rPr>
      </w:pPr>
      <w:r>
        <w:rPr>
          <w:rFonts w:hint="eastAsia"/>
          <w:b/>
          <w:sz w:val="21"/>
          <w:szCs w:val="21"/>
        </w:rPr>
        <w:t>要求：</w:t>
      </w:r>
    </w:p>
    <w:p>
      <w:pPr>
        <w:pStyle w:val="29"/>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rPr>
          <w:rFonts w:ascii="宋体" w:hAnsi="宋体" w:cs="宋体"/>
          <w:b/>
          <w:bCs/>
          <w:sz w:val="28"/>
          <w:szCs w:val="28"/>
        </w:rPr>
      </w:pPr>
      <w:r>
        <w:rPr>
          <w:rFonts w:hint="eastAsia" w:ascii="宋体" w:hAnsi="宋体" w:cs="宋体"/>
          <w:b/>
          <w:bCs/>
          <w:sz w:val="28"/>
          <w:szCs w:val="28"/>
        </w:rPr>
        <w:t>附件4</w:t>
      </w:r>
    </w:p>
    <w:p>
      <w:pPr>
        <w:spacing w:line="360" w:lineRule="auto"/>
        <w:jc w:val="center"/>
        <w:rPr>
          <w:rFonts w:ascii="宋体" w:hAnsi="宋体"/>
          <w:sz w:val="24"/>
        </w:rPr>
      </w:pPr>
      <w:bookmarkStart w:id="81" w:name="_Toc12856_WPSOffice_Level1"/>
      <w:bookmarkStart w:id="82" w:name="_Toc26601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81"/>
      <w:bookmarkEnd w:id="82"/>
    </w:p>
    <w:tbl>
      <w:tblPr>
        <w:tblStyle w:val="20"/>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560" w:type="dxa"/>
            <w:tcMar>
              <w:top w:w="57" w:type="dxa"/>
              <w:left w:w="108" w:type="dxa"/>
              <w:bottom w:w="0" w:type="dxa"/>
              <w:right w:w="108" w:type="dxa"/>
            </w:tcMar>
            <w:vAlign w:val="center"/>
          </w:tcPr>
          <w:p>
            <w:pPr>
              <w:ind w:left="15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306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c>
          <w:tcPr>
            <w:tcW w:w="934" w:type="dxa"/>
            <w:tcMar>
              <w:top w:w="57" w:type="dxa"/>
              <w:left w:w="108" w:type="dxa"/>
              <w:bottom w:w="0" w:type="dxa"/>
              <w:right w:w="108" w:type="dxa"/>
            </w:tcMar>
            <w:vAlign w:val="center"/>
          </w:tcPr>
          <w:p>
            <w:pPr>
              <w:jc w:val="center"/>
              <w:rPr>
                <w:rFonts w:asciiTheme="minorEastAsia" w:hAnsiTheme="minorEastAsia" w:eastAsiaTheme="minorEastAsia" w:cstheme="minorEastAsia"/>
                <w:szCs w:val="21"/>
              </w:rPr>
            </w:pPr>
          </w:p>
        </w:tc>
      </w:tr>
    </w:tbl>
    <w:p>
      <w:pPr>
        <w:pStyle w:val="31"/>
        <w:tabs>
          <w:tab w:val="left" w:pos="360"/>
        </w:tabs>
        <w:spacing w:line="360" w:lineRule="auto"/>
        <w:ind w:right="84" w:rightChars="40"/>
        <w:rPr>
          <w:rFonts w:ascii="宋体"/>
          <w:b/>
          <w:szCs w:val="21"/>
        </w:rPr>
      </w:pPr>
      <w:r>
        <w:rPr>
          <w:rFonts w:hint="eastAsia" w:ascii="宋体"/>
          <w:b/>
          <w:szCs w:val="21"/>
        </w:rPr>
        <w:t>要求：</w:t>
      </w:r>
    </w:p>
    <w:p>
      <w:pPr>
        <w:pStyle w:val="31"/>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1"/>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1"/>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cs="宋体"/>
          <w:b/>
          <w:bCs/>
          <w:sz w:val="28"/>
          <w:szCs w:val="28"/>
        </w:rPr>
      </w:pPr>
      <w:r>
        <w:rPr>
          <w:rFonts w:hint="eastAsia" w:ascii="宋体" w:hAnsi="宋体" w:cs="宋体"/>
          <w:b/>
          <w:bCs/>
          <w:sz w:val="28"/>
          <w:szCs w:val="28"/>
        </w:rPr>
        <w:t>附件5</w:t>
      </w:r>
    </w:p>
    <w:p>
      <w:pPr>
        <w:snapToGrid w:val="0"/>
        <w:spacing w:line="360" w:lineRule="auto"/>
        <w:jc w:val="center"/>
        <w:rPr>
          <w:rFonts w:ascii="宋体" w:hAnsi="宋体"/>
          <w:b/>
          <w:sz w:val="32"/>
          <w:szCs w:val="32"/>
        </w:rPr>
      </w:pPr>
      <w:bookmarkStart w:id="83" w:name="_Toc20569_WPSOffice_Level1"/>
      <w:bookmarkStart w:id="84" w:name="_Toc23671_WPSOffice_Level1"/>
      <w:r>
        <w:rPr>
          <w:rFonts w:hint="eastAsia" w:ascii="宋体" w:hAnsi="宋体"/>
          <w:b/>
          <w:sz w:val="32"/>
          <w:szCs w:val="32"/>
        </w:rPr>
        <w:t>项目实施人员一览表</w:t>
      </w:r>
      <w:bookmarkEnd w:id="83"/>
      <w:bookmarkEnd w:id="84"/>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0"/>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1"/>
              <w:snapToGrid w:val="0"/>
              <w:spacing w:before="120"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1"/>
              <w:snapToGrid w:val="0"/>
              <w:spacing w:before="120"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1"/>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0"/>
        <w:spacing w:line="360" w:lineRule="auto"/>
        <w:ind w:left="424" w:leftChars="202"/>
        <w:rPr>
          <w:rFonts w:ascii="宋体" w:hAnsi="宋体"/>
          <w:szCs w:val="21"/>
        </w:rPr>
      </w:pPr>
      <w:r>
        <w:rPr>
          <w:rFonts w:hint="eastAsia" w:ascii="宋体" w:hAnsi="宋体"/>
          <w:szCs w:val="21"/>
        </w:rPr>
        <w:t>2.附人员证书。</w:t>
      </w:r>
    </w:p>
    <w:p>
      <w:pPr>
        <w:pStyle w:val="30"/>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19"/>
      </w:pPr>
    </w:p>
    <w:p>
      <w:pPr>
        <w:spacing w:line="360" w:lineRule="auto"/>
        <w:rPr>
          <w:rFonts w:ascii="宋体" w:hAnsi="宋体"/>
          <w:b/>
          <w:sz w:val="28"/>
        </w:rPr>
      </w:pPr>
    </w:p>
    <w:p>
      <w:pPr>
        <w:rPr>
          <w:rFonts w:ascii="宋体" w:hAnsi="宋体" w:cs="宋体"/>
          <w:b/>
          <w:bCs/>
          <w:sz w:val="28"/>
          <w:szCs w:val="28"/>
        </w:rPr>
      </w:pPr>
      <w:r>
        <w:rPr>
          <w:rFonts w:hint="eastAsia" w:ascii="宋体" w:hAnsi="宋体" w:cs="宋体"/>
          <w:b/>
          <w:bCs/>
          <w:sz w:val="28"/>
          <w:szCs w:val="28"/>
        </w:rPr>
        <w:t>附件6</w:t>
      </w:r>
    </w:p>
    <w:p>
      <w:pPr>
        <w:spacing w:before="120" w:beforeLines="50" w:after="120" w:afterLines="50" w:line="360" w:lineRule="auto"/>
        <w:ind w:right="-10"/>
        <w:jc w:val="center"/>
        <w:rPr>
          <w:rFonts w:ascii="宋体" w:hAnsi="宋体"/>
          <w:b/>
          <w:bCs/>
          <w:sz w:val="32"/>
          <w:szCs w:val="32"/>
        </w:rPr>
      </w:pPr>
      <w:bookmarkStart w:id="85" w:name="_Toc12710_WPSOffice_Level1"/>
      <w:bookmarkStart w:id="86" w:name="_Toc23055_WPSOffice_Level1"/>
      <w:r>
        <w:rPr>
          <w:rFonts w:hint="eastAsia" w:ascii="宋体" w:hAnsi="宋体"/>
          <w:b/>
          <w:bCs/>
          <w:sz w:val="32"/>
          <w:szCs w:val="32"/>
        </w:rPr>
        <w:t>项目负责人资格情况表</w:t>
      </w:r>
      <w:bookmarkEnd w:id="85"/>
      <w:bookmarkEnd w:id="86"/>
    </w:p>
    <w:tbl>
      <w:tblPr>
        <w:tblStyle w:val="2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p>
    <w:p>
      <w:pPr>
        <w:rPr>
          <w:rFonts w:ascii="宋体" w:hAnsi="宋体" w:cs="宋体"/>
          <w:b/>
          <w:bCs/>
          <w:sz w:val="28"/>
          <w:szCs w:val="28"/>
        </w:rPr>
      </w:pPr>
      <w:r>
        <w:rPr>
          <w:rFonts w:hint="eastAsia" w:ascii="宋体" w:hAnsi="宋体" w:cs="宋体"/>
          <w:b/>
          <w:bCs/>
          <w:sz w:val="28"/>
          <w:szCs w:val="28"/>
        </w:rPr>
        <w:t>附件7</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0"/>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
                <w:szCs w:val="21"/>
              </w:rPr>
            </w:pPr>
            <w:r>
              <w:rPr>
                <w:rFonts w:hint="eastAsia" w:ascii="宋体" w:hAnsi="宋体" w:cs="Arial"/>
                <w:b/>
                <w:szCs w:val="21"/>
              </w:rPr>
              <w:t>序号</w:t>
            </w:r>
          </w:p>
        </w:tc>
        <w:tc>
          <w:tcPr>
            <w:tcW w:w="3159" w:type="dxa"/>
            <w:tcMar>
              <w:top w:w="57" w:type="dxa"/>
              <w:left w:w="108" w:type="dxa"/>
              <w:bottom w:w="0" w:type="dxa"/>
              <w:right w:w="108" w:type="dxa"/>
            </w:tcMar>
            <w:vAlign w:val="center"/>
          </w:tcPr>
          <w:p>
            <w:pPr>
              <w:pStyle w:val="34"/>
              <w:spacing w:line="360" w:lineRule="auto"/>
              <w:jc w:val="center"/>
              <w:rPr>
                <w:rFonts w:ascii="宋体" w:hAnsi="宋体" w:cs="Arial"/>
                <w:b/>
                <w:szCs w:val="21"/>
              </w:rPr>
            </w:pPr>
            <w:r>
              <w:rPr>
                <w:rFonts w:hint="eastAsia" w:ascii="宋体" w:hAnsi="宋体" w:cs="Arial"/>
                <w:b/>
                <w:szCs w:val="21"/>
              </w:rPr>
              <w:t>项目</w:t>
            </w:r>
          </w:p>
        </w:tc>
        <w:tc>
          <w:tcPr>
            <w:tcW w:w="3731" w:type="dxa"/>
            <w:tcMar>
              <w:top w:w="57" w:type="dxa"/>
              <w:left w:w="108" w:type="dxa"/>
              <w:bottom w:w="0" w:type="dxa"/>
              <w:right w:w="108" w:type="dxa"/>
            </w:tcMar>
            <w:vAlign w:val="center"/>
          </w:tcPr>
          <w:p>
            <w:pPr>
              <w:pStyle w:val="34"/>
              <w:spacing w:line="360" w:lineRule="auto"/>
              <w:jc w:val="center"/>
              <w:rPr>
                <w:rFonts w:ascii="宋体" w:hAnsi="宋体" w:cs="Arial"/>
                <w:b/>
                <w:szCs w:val="21"/>
              </w:rPr>
            </w:pPr>
            <w:r>
              <w:rPr>
                <w:rFonts w:hint="eastAsia" w:ascii="宋体" w:hAnsi="宋体" w:cs="Arial"/>
                <w:b/>
                <w:szCs w:val="21"/>
              </w:rPr>
              <w:t>投标人承诺</w:t>
            </w:r>
          </w:p>
        </w:tc>
        <w:tc>
          <w:tcPr>
            <w:tcW w:w="1373" w:type="dxa"/>
            <w:tcMar>
              <w:top w:w="57" w:type="dxa"/>
              <w:left w:w="108" w:type="dxa"/>
              <w:bottom w:w="0" w:type="dxa"/>
              <w:right w:w="108" w:type="dxa"/>
            </w:tcMar>
            <w:vAlign w:val="center"/>
          </w:tcPr>
          <w:p>
            <w:pPr>
              <w:pStyle w:val="34"/>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4"/>
              <w:spacing w:line="360" w:lineRule="auto"/>
              <w:jc w:val="center"/>
              <w:rPr>
                <w:rFonts w:ascii="宋体" w:hAnsi="宋体" w:cs="Arial"/>
                <w:bCs/>
                <w:szCs w:val="21"/>
              </w:rPr>
            </w:pPr>
            <w:r>
              <w:rPr>
                <w:rFonts w:hint="eastAsia" w:ascii="宋体" w:hAnsi="宋体" w:cs="Arial"/>
                <w:bCs/>
                <w:szCs w:val="21"/>
              </w:rPr>
              <w:t>1</w:t>
            </w:r>
          </w:p>
        </w:tc>
        <w:tc>
          <w:tcPr>
            <w:tcW w:w="3159" w:type="dxa"/>
            <w:vMerge w:val="restart"/>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hint="eastAsia" w:ascii="宋体" w:hAnsi="宋体" w:cs="Arial"/>
                <w:bCs/>
                <w:szCs w:val="21"/>
              </w:rPr>
              <w:t>服务实施期内服务情况(</w:t>
            </w:r>
            <w:r>
              <w:rPr>
                <w:rFonts w:ascii="宋体" w:hAnsi="宋体" w:cs="Arial"/>
                <w:bCs/>
                <w:szCs w:val="21"/>
              </w:rPr>
              <w:t>服务</w:t>
            </w:r>
            <w:r>
              <w:rPr>
                <w:rFonts w:hint="eastAsia" w:ascii="宋体" w:hAnsi="宋体" w:cs="Arial"/>
                <w:bCs/>
                <w:szCs w:val="21"/>
              </w:rPr>
              <w:t>方式、</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34"/>
              <w:spacing w:line="360" w:lineRule="auto"/>
              <w:rPr>
                <w:rFonts w:ascii="宋体" w:hAnsi="宋体" w:cs="Arial"/>
                <w:bCs/>
                <w:szCs w:val="21"/>
              </w:rPr>
            </w:pPr>
            <w:r>
              <w:rPr>
                <w:rFonts w:hint="eastAsia" w:ascii="宋体" w:hAnsi="宋体" w:cs="Arial"/>
                <w:bCs/>
                <w:szCs w:val="21"/>
              </w:rPr>
              <w:t>生产厂商售后服务情况：</w:t>
            </w:r>
          </w:p>
        </w:tc>
        <w:tc>
          <w:tcPr>
            <w:tcW w:w="1373" w:type="dxa"/>
            <w:tcMar>
              <w:top w:w="57" w:type="dxa"/>
              <w:left w:w="108" w:type="dxa"/>
              <w:bottom w:w="0" w:type="dxa"/>
              <w:right w:w="108" w:type="dxa"/>
            </w:tcMar>
          </w:tcPr>
          <w:p>
            <w:pPr>
              <w:pStyle w:val="34"/>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p>
        </w:tc>
        <w:tc>
          <w:tcPr>
            <w:tcW w:w="3159" w:type="dxa"/>
            <w:vMerge w:val="continue"/>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p>
        </w:tc>
        <w:tc>
          <w:tcPr>
            <w:tcW w:w="3731" w:type="dxa"/>
            <w:tcMar>
              <w:top w:w="57" w:type="dxa"/>
              <w:left w:w="108" w:type="dxa"/>
              <w:bottom w:w="0" w:type="dxa"/>
              <w:right w:w="108" w:type="dxa"/>
            </w:tcMar>
          </w:tcPr>
          <w:p>
            <w:pPr>
              <w:pStyle w:val="34"/>
              <w:spacing w:line="360" w:lineRule="auto"/>
              <w:rPr>
                <w:rFonts w:ascii="宋体" w:hAnsi="宋体" w:cs="Arial"/>
                <w:bCs/>
                <w:szCs w:val="21"/>
              </w:rPr>
            </w:pPr>
            <w:r>
              <w:rPr>
                <w:rFonts w:hint="eastAsia" w:ascii="宋体" w:hAnsi="宋体" w:cs="Arial"/>
                <w:bCs/>
                <w:szCs w:val="21"/>
              </w:rPr>
              <w:t>投标人售后服务情况：</w:t>
            </w:r>
          </w:p>
        </w:tc>
        <w:tc>
          <w:tcPr>
            <w:tcW w:w="1373" w:type="dxa"/>
            <w:tcMar>
              <w:top w:w="57" w:type="dxa"/>
              <w:left w:w="108" w:type="dxa"/>
              <w:bottom w:w="0" w:type="dxa"/>
              <w:right w:w="108" w:type="dxa"/>
            </w:tcMar>
          </w:tcPr>
          <w:p>
            <w:pPr>
              <w:pStyle w:val="34"/>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4"/>
              <w:spacing w:line="360" w:lineRule="auto"/>
              <w:jc w:val="center"/>
              <w:rPr>
                <w:rFonts w:ascii="宋体" w:hAnsi="宋体" w:cs="Arial"/>
                <w:bCs/>
                <w:szCs w:val="21"/>
              </w:rPr>
            </w:pPr>
            <w:r>
              <w:rPr>
                <w:rFonts w:hint="eastAsia" w:ascii="宋体" w:hAnsi="宋体" w:cs="Arial"/>
                <w:bCs/>
                <w:szCs w:val="21"/>
              </w:rPr>
              <w:t>2</w:t>
            </w:r>
          </w:p>
        </w:tc>
        <w:tc>
          <w:tcPr>
            <w:tcW w:w="3159" w:type="dxa"/>
            <w:tcMar>
              <w:top w:w="57" w:type="dxa"/>
              <w:left w:w="108" w:type="dxa"/>
              <w:bottom w:w="0" w:type="dxa"/>
              <w:right w:w="108" w:type="dxa"/>
            </w:tcMar>
            <w:vAlign w:val="center"/>
          </w:tcPr>
          <w:p>
            <w:pPr>
              <w:pStyle w:val="34"/>
              <w:spacing w:line="360" w:lineRule="auto"/>
              <w:rPr>
                <w:rFonts w:ascii="宋体" w:hAnsi="宋体" w:cs="Arial"/>
                <w:bCs/>
                <w:szCs w:val="21"/>
              </w:rPr>
            </w:pPr>
            <w:r>
              <w:rPr>
                <w:rFonts w:hint="eastAsia" w:ascii="宋体" w:hAnsi="宋体" w:cs="Arial"/>
                <w:bCs/>
                <w:szCs w:val="21"/>
              </w:rPr>
              <w:t>运维期服务情况(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、服务的内容和措施</w:t>
            </w:r>
            <w:r>
              <w:rPr>
                <w:rFonts w:hint="eastAsia" w:ascii="宋体" w:hAnsi="宋体" w:cs="Arial"/>
                <w:bCs/>
                <w:szCs w:val="21"/>
              </w:rPr>
              <w:t>等等，可用附页和宣传材料)。</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szCs w:val="21"/>
              </w:rPr>
            </w:pPr>
          </w:p>
          <w:p>
            <w:pPr>
              <w:pStyle w:val="34"/>
              <w:widowControl/>
              <w:spacing w:line="360" w:lineRule="auto"/>
              <w:jc w:val="left"/>
              <w:rPr>
                <w:rFonts w:ascii="宋体" w:hAnsi="宋体" w:cs="Arial"/>
                <w:bCs/>
                <w:szCs w:val="21"/>
              </w:rPr>
            </w:pPr>
          </w:p>
          <w:p>
            <w:pPr>
              <w:pStyle w:val="34"/>
              <w:spacing w:line="360" w:lineRule="auto"/>
              <w:rPr>
                <w:rFonts w:ascii="宋体" w:hAnsi="宋体" w:cs="Arial"/>
                <w:bCs/>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szCs w:val="21"/>
              </w:rPr>
            </w:pPr>
          </w:p>
          <w:p>
            <w:pPr>
              <w:pStyle w:val="34"/>
              <w:widowControl/>
              <w:spacing w:line="360" w:lineRule="auto"/>
              <w:jc w:val="left"/>
              <w:rPr>
                <w:rFonts w:ascii="宋体" w:hAnsi="宋体" w:cs="Arial"/>
                <w:bCs/>
                <w:szCs w:val="21"/>
              </w:rPr>
            </w:pPr>
          </w:p>
          <w:p>
            <w:pPr>
              <w:pStyle w:val="34"/>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hint="eastAsia" w:ascii="宋体" w:hAnsi="宋体" w:cs="Arial"/>
                <w:bCs/>
                <w:szCs w:val="21"/>
              </w:rPr>
              <w:t xml:space="preserve"> 3</w:t>
            </w:r>
          </w:p>
        </w:tc>
        <w:tc>
          <w:tcPr>
            <w:tcW w:w="3159" w:type="dxa"/>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i/>
                <w:szCs w:val="21"/>
              </w:rPr>
            </w:pPr>
          </w:p>
          <w:p>
            <w:pPr>
              <w:pStyle w:val="34"/>
              <w:widowControl/>
              <w:spacing w:line="360" w:lineRule="auto"/>
              <w:jc w:val="left"/>
              <w:rPr>
                <w:rFonts w:ascii="宋体" w:hAnsi="宋体" w:cs="Arial"/>
                <w:bCs/>
                <w:i/>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i/>
                <w:szCs w:val="21"/>
              </w:rPr>
            </w:pPr>
          </w:p>
          <w:p>
            <w:pPr>
              <w:pStyle w:val="34"/>
              <w:widowControl/>
              <w:spacing w:line="360" w:lineRule="auto"/>
              <w:jc w:val="left"/>
              <w:rPr>
                <w:rFonts w:ascii="宋体" w:hAnsi="宋体" w:cs="Arial"/>
                <w:bCs/>
                <w:i/>
                <w:szCs w:val="21"/>
              </w:rPr>
            </w:pPr>
          </w:p>
          <w:p>
            <w:pPr>
              <w:pStyle w:val="34"/>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ascii="宋体" w:hAnsi="宋体" w:cs="Arial"/>
                <w:bCs/>
                <w:szCs w:val="21"/>
              </w:rPr>
              <w:t>……</w:t>
            </w:r>
          </w:p>
        </w:tc>
        <w:tc>
          <w:tcPr>
            <w:tcW w:w="3159" w:type="dxa"/>
            <w:tcMar>
              <w:top w:w="57" w:type="dxa"/>
              <w:left w:w="108" w:type="dxa"/>
              <w:bottom w:w="0" w:type="dxa"/>
              <w:right w:w="108" w:type="dxa"/>
            </w:tcMar>
            <w:vAlign w:val="center"/>
          </w:tcPr>
          <w:p>
            <w:pPr>
              <w:pStyle w:val="34"/>
              <w:widowControl/>
              <w:spacing w:line="360" w:lineRule="auto"/>
              <w:jc w:val="left"/>
              <w:rPr>
                <w:rFonts w:ascii="宋体" w:hAnsi="宋体" w:cs="Arial"/>
                <w:bCs/>
                <w:szCs w:val="21"/>
              </w:rPr>
            </w:pPr>
            <w:r>
              <w:rPr>
                <w:rFonts w:ascii="宋体" w:hAnsi="宋体" w:cs="Arial"/>
                <w:bCs/>
                <w:szCs w:val="21"/>
              </w:rPr>
              <w:t>……</w:t>
            </w:r>
          </w:p>
        </w:tc>
        <w:tc>
          <w:tcPr>
            <w:tcW w:w="3731" w:type="dxa"/>
            <w:tcMar>
              <w:top w:w="57" w:type="dxa"/>
              <w:left w:w="108" w:type="dxa"/>
              <w:bottom w:w="0" w:type="dxa"/>
              <w:right w:w="108" w:type="dxa"/>
            </w:tcMar>
          </w:tcPr>
          <w:p>
            <w:pPr>
              <w:pStyle w:val="34"/>
              <w:widowControl/>
              <w:spacing w:line="360" w:lineRule="auto"/>
              <w:jc w:val="left"/>
              <w:rPr>
                <w:rFonts w:ascii="宋体" w:hAnsi="宋体" w:cs="Arial"/>
                <w:bCs/>
                <w:szCs w:val="21"/>
              </w:rPr>
            </w:pPr>
          </w:p>
        </w:tc>
        <w:tc>
          <w:tcPr>
            <w:tcW w:w="1373" w:type="dxa"/>
            <w:tcMar>
              <w:top w:w="57" w:type="dxa"/>
              <w:left w:w="108" w:type="dxa"/>
              <w:bottom w:w="0" w:type="dxa"/>
              <w:right w:w="108" w:type="dxa"/>
            </w:tcMar>
          </w:tcPr>
          <w:p>
            <w:pPr>
              <w:pStyle w:val="34"/>
              <w:widowControl/>
              <w:spacing w:line="360" w:lineRule="auto"/>
              <w:jc w:val="left"/>
              <w:rPr>
                <w:rFonts w:ascii="宋体" w:hAnsi="宋体" w:cs="Arial"/>
                <w:bCs/>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2"/>
        <w:spacing w:line="360" w:lineRule="auto"/>
        <w:jc w:val="left"/>
        <w:rPr>
          <w:rFonts w:ascii="宋体" w:hAnsi="宋体"/>
          <w:b/>
          <w:sz w:val="28"/>
        </w:rPr>
      </w:pPr>
    </w:p>
    <w:p>
      <w:pPr>
        <w:pStyle w:val="32"/>
        <w:spacing w:line="360" w:lineRule="auto"/>
        <w:jc w:val="left"/>
        <w:rPr>
          <w:rFonts w:ascii="宋体" w:hAnsi="宋体"/>
          <w:b/>
          <w:sz w:val="28"/>
        </w:rPr>
      </w:pPr>
    </w:p>
    <w:p>
      <w:pPr>
        <w:rPr>
          <w:rFonts w:ascii="宋体" w:hAnsi="宋体" w:cs="宋体"/>
          <w:b/>
          <w:bCs/>
          <w:sz w:val="28"/>
          <w:szCs w:val="28"/>
        </w:rPr>
      </w:pPr>
      <w:r>
        <w:rPr>
          <w:rFonts w:hint="eastAsia" w:ascii="宋体" w:hAnsi="宋体" w:cs="宋体"/>
          <w:b/>
          <w:bCs/>
          <w:sz w:val="28"/>
          <w:szCs w:val="28"/>
        </w:rPr>
        <w:t>附件8</w:t>
      </w:r>
    </w:p>
    <w:p>
      <w:pPr>
        <w:pStyle w:val="33"/>
        <w:spacing w:line="360" w:lineRule="auto"/>
        <w:jc w:val="center"/>
        <w:rPr>
          <w:rFonts w:ascii="宋体" w:hAnsi="宋体" w:cs="Arial"/>
          <w:sz w:val="28"/>
          <w:szCs w:val="28"/>
        </w:rPr>
      </w:pPr>
      <w:bookmarkStart w:id="87" w:name="_Toc11030_WPSOffice_Level1"/>
      <w:bookmarkStart w:id="88" w:name="_Toc17604_WPSOffice_Level1"/>
      <w:r>
        <w:rPr>
          <w:rFonts w:hint="eastAsia" w:ascii="宋体" w:hAnsi="宋体"/>
          <w:b/>
          <w:sz w:val="32"/>
          <w:szCs w:val="32"/>
        </w:rPr>
        <w:t>证书一览表</w:t>
      </w:r>
      <w:bookmarkEnd w:id="87"/>
      <w:bookmarkEnd w:id="88"/>
    </w:p>
    <w:tbl>
      <w:tblPr>
        <w:tblStyle w:val="20"/>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33"/>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33"/>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33"/>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33"/>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33"/>
              <w:spacing w:line="360" w:lineRule="auto"/>
              <w:jc w:val="center"/>
              <w:rPr>
                <w:rFonts w:ascii="宋体" w:hAnsi="宋体" w:cs="Arial"/>
                <w:szCs w:val="21"/>
              </w:rPr>
            </w:pPr>
          </w:p>
        </w:tc>
      </w:tr>
    </w:tbl>
    <w:p>
      <w:pPr>
        <w:pStyle w:val="33"/>
        <w:tabs>
          <w:tab w:val="left" w:pos="1050"/>
        </w:tabs>
        <w:spacing w:line="360" w:lineRule="auto"/>
        <w:rPr>
          <w:rFonts w:ascii="宋体" w:hAnsi="宋体"/>
          <w:szCs w:val="21"/>
        </w:rPr>
      </w:pPr>
      <w:r>
        <w:rPr>
          <w:rFonts w:hint="eastAsia" w:ascii="宋体" w:hAnsi="宋体"/>
          <w:b/>
          <w:szCs w:val="21"/>
        </w:rPr>
        <w:t>要求：</w:t>
      </w:r>
    </w:p>
    <w:p>
      <w:pPr>
        <w:pStyle w:val="33"/>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3"/>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3"/>
        <w:tabs>
          <w:tab w:val="left" w:pos="1050"/>
        </w:tabs>
        <w:spacing w:line="360" w:lineRule="auto"/>
        <w:rPr>
          <w:rFonts w:ascii="仿宋_GB2312" w:hAnsi="宋体" w:eastAsia="仿宋_GB2312"/>
          <w:sz w:val="24"/>
        </w:rPr>
      </w:pPr>
    </w:p>
    <w:p>
      <w:pPr>
        <w:pStyle w:val="33"/>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9"/>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19"/>
        <w:rPr>
          <w:rFonts w:ascii="宋体" w:hAnsi="宋体"/>
          <w:b/>
          <w:sz w:val="28"/>
        </w:rPr>
      </w:pPr>
    </w:p>
    <w:p>
      <w:pPr>
        <w:pStyle w:val="19"/>
        <w:rPr>
          <w:rFonts w:ascii="宋体" w:hAnsi="宋体"/>
          <w:b/>
          <w:sz w:val="28"/>
        </w:rPr>
      </w:pPr>
    </w:p>
    <w:p>
      <w:pPr>
        <w:rPr>
          <w:rFonts w:ascii="宋体" w:hAnsi="宋体" w:cs="宋体"/>
          <w:b/>
          <w:bCs/>
          <w:sz w:val="28"/>
          <w:szCs w:val="28"/>
        </w:rPr>
      </w:pPr>
      <w:r>
        <w:rPr>
          <w:rFonts w:hint="eastAsia" w:ascii="宋体" w:hAnsi="宋体" w:cs="宋体"/>
          <w:b/>
          <w:bCs/>
          <w:sz w:val="28"/>
          <w:szCs w:val="28"/>
        </w:rPr>
        <w:t>附件9</w:t>
      </w:r>
    </w:p>
    <w:p>
      <w:pPr>
        <w:spacing w:line="360" w:lineRule="auto"/>
        <w:jc w:val="center"/>
        <w:rPr>
          <w:rFonts w:ascii="宋体" w:hAnsi="宋体"/>
          <w:b/>
          <w:bCs/>
          <w:kern w:val="0"/>
          <w:sz w:val="32"/>
          <w:szCs w:val="32"/>
        </w:rPr>
      </w:pPr>
      <w:bookmarkStart w:id="89" w:name="_Toc19231_WPSOffice_Level1"/>
      <w:bookmarkStart w:id="90" w:name="_Toc7134_WPSOffice_Level1"/>
      <w:r>
        <w:rPr>
          <w:rFonts w:hint="eastAsia" w:ascii="宋体" w:hAnsi="宋体"/>
          <w:b/>
          <w:bCs/>
          <w:kern w:val="0"/>
          <w:sz w:val="32"/>
          <w:szCs w:val="32"/>
        </w:rPr>
        <w:t>投标人类似项目实施情况一览表</w:t>
      </w:r>
      <w:bookmarkEnd w:id="89"/>
      <w:bookmarkEnd w:id="90"/>
    </w:p>
    <w:tbl>
      <w:tblPr>
        <w:tblStyle w:val="20"/>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2"/>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2"/>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3"/>
        <w:tabs>
          <w:tab w:val="left" w:pos="1050"/>
        </w:tabs>
        <w:spacing w:line="360" w:lineRule="auto"/>
        <w:rPr>
          <w:rFonts w:ascii="宋体" w:hAnsi="宋体"/>
          <w:b/>
          <w:sz w:val="28"/>
        </w:rPr>
      </w:pPr>
    </w:p>
    <w:p>
      <w:pPr>
        <w:pStyle w:val="33"/>
        <w:tabs>
          <w:tab w:val="left" w:pos="1050"/>
        </w:tabs>
        <w:spacing w:line="360" w:lineRule="auto"/>
        <w:rPr>
          <w:rFonts w:ascii="宋体" w:hAnsi="宋体"/>
          <w:b/>
          <w:sz w:val="28"/>
        </w:rPr>
      </w:pPr>
    </w:p>
    <w:p>
      <w:pPr>
        <w:pStyle w:val="33"/>
        <w:tabs>
          <w:tab w:val="left" w:pos="1050"/>
        </w:tabs>
        <w:spacing w:line="360" w:lineRule="auto"/>
        <w:rPr>
          <w:rFonts w:ascii="宋体" w:hAnsi="宋体"/>
          <w:b/>
          <w:sz w:val="28"/>
        </w:rPr>
      </w:pPr>
    </w:p>
    <w:p>
      <w:pPr>
        <w:rPr>
          <w:rFonts w:ascii="宋体" w:hAnsi="宋体" w:cs="宋体"/>
          <w:b/>
          <w:bCs/>
          <w:sz w:val="28"/>
          <w:szCs w:val="28"/>
        </w:rPr>
      </w:pPr>
      <w:r>
        <w:rPr>
          <w:rFonts w:hint="eastAsia" w:ascii="宋体" w:hAnsi="宋体" w:cs="宋体"/>
          <w:b/>
          <w:bCs/>
          <w:sz w:val="28"/>
          <w:szCs w:val="28"/>
        </w:rPr>
        <w:t>附件10</w:t>
      </w:r>
    </w:p>
    <w:p>
      <w:pPr>
        <w:spacing w:line="360" w:lineRule="auto"/>
        <w:ind w:left="549" w:hanging="549" w:hangingChars="171"/>
        <w:jc w:val="center"/>
        <w:rPr>
          <w:rFonts w:ascii="宋体" w:hAnsi="宋体"/>
          <w:b/>
          <w:sz w:val="18"/>
          <w:szCs w:val="18"/>
        </w:rPr>
      </w:pPr>
      <w:bookmarkStart w:id="91" w:name="_Toc3068_WPSOffice_Level1"/>
      <w:bookmarkStart w:id="92" w:name="_Toc21582_WPSOffice_Level1"/>
      <w:r>
        <w:rPr>
          <w:rFonts w:hint="eastAsia" w:ascii="宋体" w:hAnsi="宋体"/>
          <w:b/>
          <w:sz w:val="32"/>
          <w:szCs w:val="32"/>
        </w:rPr>
        <w:t>商务需求响应表(第 标)</w:t>
      </w:r>
      <w:bookmarkEnd w:id="91"/>
      <w:bookmarkEnd w:id="92"/>
    </w:p>
    <w:tbl>
      <w:tblPr>
        <w:tblStyle w:val="20"/>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序号</w:t>
            </w:r>
          </w:p>
        </w:tc>
        <w:tc>
          <w:tcPr>
            <w:tcW w:w="2534" w:type="dxa"/>
            <w:tcMar>
              <w:top w:w="57" w:type="dxa"/>
              <w:left w:w="108" w:type="dxa"/>
              <w:bottom w:w="0" w:type="dxa"/>
              <w:right w:w="108" w:type="dxa"/>
            </w:tcMar>
            <w:vAlign w:val="center"/>
          </w:tcPr>
          <w:p>
            <w:pPr>
              <w:rPr>
                <w:rFonts w:ascii="宋体" w:hAnsi="宋体"/>
                <w:b/>
                <w:szCs w:val="21"/>
              </w:rPr>
            </w:pPr>
            <w:r>
              <w:rPr>
                <w:rFonts w:hint="eastAsia" w:ascii="宋体" w:hAnsi="宋体"/>
                <w:b/>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Cs w:val="21"/>
              </w:rPr>
            </w:pPr>
            <w:r>
              <w:rPr>
                <w:rFonts w:hint="eastAsia" w:ascii="宋体" w:hAnsi="宋体"/>
                <w:b/>
                <w:szCs w:val="21"/>
              </w:rPr>
              <w:t>招标需求</w:t>
            </w:r>
          </w:p>
        </w:tc>
        <w:tc>
          <w:tcPr>
            <w:tcW w:w="1365" w:type="dxa"/>
            <w:tcMar>
              <w:top w:w="57" w:type="dxa"/>
              <w:left w:w="108" w:type="dxa"/>
              <w:bottom w:w="0" w:type="dxa"/>
              <w:right w:w="108" w:type="dxa"/>
            </w:tcMar>
            <w:vAlign w:val="center"/>
          </w:tcPr>
          <w:p>
            <w:pPr>
              <w:ind w:left="152"/>
              <w:rPr>
                <w:rFonts w:ascii="宋体" w:hAnsi="宋体"/>
                <w:b/>
                <w:szCs w:val="21"/>
              </w:rPr>
            </w:pPr>
            <w:r>
              <w:rPr>
                <w:rFonts w:hint="eastAsia" w:ascii="宋体" w:hAnsi="宋体"/>
                <w:b/>
                <w:szCs w:val="21"/>
              </w:rPr>
              <w:t>是否响应</w:t>
            </w:r>
          </w:p>
        </w:tc>
        <w:tc>
          <w:tcPr>
            <w:tcW w:w="2625" w:type="dxa"/>
            <w:tcMar>
              <w:top w:w="57" w:type="dxa"/>
              <w:left w:w="108" w:type="dxa"/>
              <w:bottom w:w="0" w:type="dxa"/>
              <w:right w:w="108" w:type="dxa"/>
            </w:tcMar>
            <w:vAlign w:val="center"/>
          </w:tcPr>
          <w:p>
            <w:pPr>
              <w:jc w:val="center"/>
              <w:rPr>
                <w:rFonts w:ascii="宋体" w:hAnsi="宋体"/>
                <w:b/>
                <w:szCs w:val="21"/>
              </w:rPr>
            </w:pPr>
            <w:r>
              <w:rPr>
                <w:rFonts w:hint="eastAsia" w:ascii="宋体" w:hAnsi="宋体"/>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维保期</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服务时间及地点</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付款条件</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备品备件及耗材等要求</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r>
              <w:rPr>
                <w:rFonts w:hint="eastAsia" w:ascii="宋体" w:hAnsi="宋体"/>
                <w:szCs w:val="21"/>
              </w:rPr>
              <w:t>……</w:t>
            </w: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Cs w:val="21"/>
              </w:rPr>
            </w:pPr>
          </w:p>
        </w:tc>
        <w:tc>
          <w:tcPr>
            <w:tcW w:w="2534" w:type="dxa"/>
            <w:tcMar>
              <w:top w:w="57" w:type="dxa"/>
              <w:left w:w="108" w:type="dxa"/>
              <w:bottom w:w="0" w:type="dxa"/>
              <w:right w:w="108" w:type="dxa"/>
            </w:tcMar>
          </w:tcPr>
          <w:p>
            <w:pPr>
              <w:snapToGrid w:val="0"/>
              <w:rPr>
                <w:rFonts w:ascii="宋体" w:hAnsi="宋体"/>
                <w:szCs w:val="21"/>
              </w:rPr>
            </w:pPr>
          </w:p>
        </w:tc>
        <w:tc>
          <w:tcPr>
            <w:tcW w:w="1785" w:type="dxa"/>
            <w:tcMar>
              <w:top w:w="57" w:type="dxa"/>
              <w:left w:w="108" w:type="dxa"/>
              <w:bottom w:w="0" w:type="dxa"/>
              <w:right w:w="108" w:type="dxa"/>
            </w:tcMar>
            <w:vAlign w:val="center"/>
          </w:tcPr>
          <w:p>
            <w:pPr>
              <w:rPr>
                <w:rFonts w:ascii="宋体" w:hAnsi="宋体"/>
                <w:szCs w:val="21"/>
              </w:rPr>
            </w:pPr>
          </w:p>
        </w:tc>
        <w:tc>
          <w:tcPr>
            <w:tcW w:w="1365" w:type="dxa"/>
            <w:tcMar>
              <w:top w:w="57" w:type="dxa"/>
              <w:left w:w="108" w:type="dxa"/>
              <w:bottom w:w="0" w:type="dxa"/>
              <w:right w:w="108" w:type="dxa"/>
            </w:tcMar>
            <w:vAlign w:val="center"/>
          </w:tcPr>
          <w:p>
            <w:pPr>
              <w:rPr>
                <w:rFonts w:ascii="宋体" w:hAnsi="宋体"/>
                <w:szCs w:val="21"/>
              </w:rPr>
            </w:pPr>
          </w:p>
        </w:tc>
        <w:tc>
          <w:tcPr>
            <w:tcW w:w="2625" w:type="dxa"/>
            <w:tcMar>
              <w:top w:w="57" w:type="dxa"/>
              <w:left w:w="108" w:type="dxa"/>
              <w:bottom w:w="0" w:type="dxa"/>
              <w:right w:w="108" w:type="dxa"/>
            </w:tcMar>
            <w:vAlign w:val="center"/>
          </w:tcPr>
          <w:p>
            <w:pPr>
              <w:rPr>
                <w:rFonts w:ascii="宋体" w:hAnsi="宋体"/>
                <w:szCs w:val="21"/>
              </w:rPr>
            </w:pPr>
          </w:p>
        </w:tc>
      </w:tr>
    </w:tbl>
    <w:p>
      <w:pPr>
        <w:spacing w:line="360" w:lineRule="auto"/>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sz w:val="52"/>
          <w:szCs w:val="52"/>
        </w:rPr>
      </w:pPr>
      <w:bookmarkStart w:id="93" w:name="_Toc30468_WPSOffice_Level1"/>
      <w:bookmarkStart w:id="94" w:name="_Toc21322_WPSOffice_Level1"/>
      <w:bookmarkStart w:id="95" w:name="_Toc4615_WPSOffice_Level1"/>
    </w:p>
    <w:p>
      <w:pPr>
        <w:pStyle w:val="19"/>
      </w:pPr>
    </w:p>
    <w:p>
      <w:pPr>
        <w:pStyle w:val="19"/>
      </w:pPr>
    </w:p>
    <w:p>
      <w:pPr>
        <w:jc w:val="center"/>
        <w:rPr>
          <w:sz w:val="52"/>
          <w:szCs w:val="52"/>
        </w:rPr>
      </w:pPr>
    </w:p>
    <w:p>
      <w:pPr>
        <w:jc w:val="center"/>
        <w:rPr>
          <w:sz w:val="52"/>
          <w:szCs w:val="52"/>
        </w:rPr>
      </w:pPr>
      <w:r>
        <w:rPr>
          <w:rFonts w:hint="eastAsia"/>
          <w:sz w:val="52"/>
          <w:szCs w:val="52"/>
        </w:rPr>
        <w:t>项目名称</w:t>
      </w:r>
      <w:bookmarkEnd w:id="93"/>
      <w:bookmarkEnd w:id="94"/>
      <w:bookmarkEnd w:id="95"/>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rPr>
      </w:pPr>
      <w:bookmarkStart w:id="96" w:name="_Toc8885_WPSOffice_Level1"/>
      <w:bookmarkStart w:id="97" w:name="_Toc9453_WPSOffice_Level1"/>
      <w:r>
        <w:rPr>
          <w:rFonts w:hint="eastAsia"/>
          <w:sz w:val="84"/>
          <w:szCs w:val="84"/>
        </w:rPr>
        <w:t>报</w:t>
      </w:r>
      <w:bookmarkEnd w:id="96"/>
      <w:bookmarkEnd w:id="97"/>
    </w:p>
    <w:p>
      <w:pPr>
        <w:jc w:val="center"/>
        <w:rPr>
          <w:sz w:val="84"/>
          <w:szCs w:val="84"/>
        </w:rPr>
      </w:pPr>
      <w:bookmarkStart w:id="98" w:name="_Toc10910_WPSOffice_Level1"/>
      <w:bookmarkStart w:id="99" w:name="_Toc7485_WPSOffice_Level1"/>
      <w:r>
        <w:rPr>
          <w:rFonts w:hint="eastAsia"/>
          <w:sz w:val="84"/>
          <w:szCs w:val="84"/>
        </w:rPr>
        <w:t>价</w:t>
      </w:r>
      <w:bookmarkEnd w:id="98"/>
      <w:bookmarkEnd w:id="99"/>
    </w:p>
    <w:p>
      <w:pPr>
        <w:jc w:val="center"/>
        <w:rPr>
          <w:sz w:val="84"/>
          <w:szCs w:val="84"/>
        </w:rPr>
      </w:pPr>
      <w:bookmarkStart w:id="100" w:name="_Toc3932_WPSOffice_Level1"/>
      <w:bookmarkStart w:id="101" w:name="_Toc14572_WPSOffice_Level1"/>
      <w:r>
        <w:rPr>
          <w:rFonts w:hint="eastAsia"/>
          <w:sz w:val="84"/>
          <w:szCs w:val="84"/>
        </w:rPr>
        <w:t>文</w:t>
      </w:r>
      <w:bookmarkEnd w:id="100"/>
      <w:bookmarkEnd w:id="101"/>
    </w:p>
    <w:p>
      <w:pPr>
        <w:jc w:val="center"/>
        <w:rPr>
          <w:sz w:val="84"/>
          <w:szCs w:val="84"/>
        </w:rPr>
      </w:pPr>
      <w:bookmarkStart w:id="102" w:name="_Toc16973_WPSOffice_Level1"/>
      <w:bookmarkStart w:id="103" w:name="_Toc7562_WPSOffice_Level1"/>
      <w:r>
        <w:rPr>
          <w:rFonts w:hint="eastAsia"/>
          <w:sz w:val="84"/>
          <w:szCs w:val="84"/>
        </w:rPr>
        <w:t>件</w:t>
      </w:r>
      <w:bookmarkEnd w:id="102"/>
      <w:bookmarkEnd w:id="103"/>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4" w:name="_Toc26700_WPSOffice_Level1"/>
      <w:bookmarkStart w:id="105" w:name="_Toc4603_WPSOffice_Level1"/>
      <w:r>
        <w:rPr>
          <w:rFonts w:hint="eastAsia" w:ascii="宋体" w:hAnsi="宋体"/>
          <w:sz w:val="36"/>
          <w:szCs w:val="36"/>
        </w:rPr>
        <w:t>投标人全称（公章）：</w:t>
      </w:r>
      <w:bookmarkEnd w:id="104"/>
      <w:bookmarkEnd w:id="105"/>
    </w:p>
    <w:p>
      <w:pPr>
        <w:spacing w:line="360" w:lineRule="auto"/>
        <w:ind w:right="-108" w:firstLine="720" w:firstLineChars="200"/>
        <w:rPr>
          <w:rFonts w:ascii="宋体" w:hAnsi="宋体"/>
          <w:sz w:val="36"/>
          <w:szCs w:val="36"/>
        </w:rPr>
      </w:pPr>
      <w:bookmarkStart w:id="106" w:name="_Toc32593_WPSOffice_Level1"/>
      <w:bookmarkStart w:id="107" w:name="_Toc1391_WPSOffice_Level1"/>
      <w:r>
        <w:rPr>
          <w:rFonts w:hint="eastAsia" w:ascii="宋体" w:hAnsi="宋体"/>
          <w:sz w:val="36"/>
          <w:szCs w:val="36"/>
        </w:rPr>
        <w:t>地    址：</w:t>
      </w:r>
      <w:bookmarkEnd w:id="106"/>
      <w:bookmarkEnd w:id="107"/>
    </w:p>
    <w:p>
      <w:pPr>
        <w:spacing w:line="360" w:lineRule="auto"/>
        <w:ind w:right="-108" w:firstLine="720" w:firstLineChars="200"/>
        <w:rPr>
          <w:rFonts w:ascii="宋体" w:hAnsi="宋体"/>
          <w:sz w:val="36"/>
          <w:szCs w:val="36"/>
        </w:rPr>
      </w:pPr>
      <w:bookmarkStart w:id="108" w:name="_Toc3791_WPSOffice_Level1"/>
      <w:bookmarkStart w:id="109" w:name="_Toc20938_WPSOffice_Level1"/>
      <w:r>
        <w:rPr>
          <w:rFonts w:hint="eastAsia" w:ascii="宋体" w:hAnsi="宋体"/>
          <w:sz w:val="36"/>
          <w:szCs w:val="36"/>
        </w:rPr>
        <w:t>时    间：</w:t>
      </w:r>
      <w:bookmarkEnd w:id="108"/>
      <w:bookmarkEnd w:id="109"/>
    </w:p>
    <w:p>
      <w:pPr>
        <w:spacing w:line="360" w:lineRule="auto"/>
        <w:ind w:right="-108"/>
        <w:jc w:val="center"/>
        <w:rPr>
          <w:rFonts w:ascii="仿宋_GB2312" w:hAnsi="宋体" w:eastAsia="仿宋_GB2312"/>
          <w:b/>
          <w:sz w:val="36"/>
          <w:szCs w:val="36"/>
        </w:rPr>
      </w:pPr>
    </w:p>
    <w:p>
      <w:pPr>
        <w:pStyle w:val="19"/>
      </w:pPr>
    </w:p>
    <w:p>
      <w:pPr>
        <w:pStyle w:val="19"/>
      </w:pPr>
    </w:p>
    <w:p>
      <w:pPr>
        <w:pStyle w:val="19"/>
      </w:pPr>
    </w:p>
    <w:p>
      <w:pPr>
        <w:pStyle w:val="19"/>
      </w:pPr>
    </w:p>
    <w:p>
      <w:pPr>
        <w:pStyle w:val="19"/>
      </w:pPr>
    </w:p>
    <w:p>
      <w:pPr>
        <w:pStyle w:val="19"/>
      </w:pPr>
    </w:p>
    <w:p>
      <w:pPr>
        <w:pStyle w:val="19"/>
      </w:pPr>
    </w:p>
    <w:p>
      <w:pPr>
        <w:pStyle w:val="2"/>
        <w:rPr>
          <w:rFonts w:ascii="仿宋_GB2312" w:hAnsi="宋体" w:eastAsia="仿宋_GB2312"/>
          <w:b/>
          <w:sz w:val="36"/>
          <w:szCs w:val="36"/>
        </w:rPr>
      </w:pPr>
    </w:p>
    <w:p>
      <w:pPr>
        <w:spacing w:line="480" w:lineRule="auto"/>
        <w:jc w:val="center"/>
        <w:rPr>
          <w:rFonts w:ascii="宋体" w:hAnsi="宋体"/>
          <w:b/>
          <w:bCs/>
          <w:sz w:val="36"/>
          <w:szCs w:val="36"/>
        </w:rPr>
      </w:pPr>
      <w:bookmarkStart w:id="110" w:name="_Toc19972_WPSOffice_Level1"/>
      <w:bookmarkStart w:id="111" w:name="_Toc29537_WPSOffice_Level1"/>
      <w:r>
        <w:rPr>
          <w:rFonts w:hint="eastAsia" w:ascii="宋体" w:hAnsi="宋体"/>
          <w:b/>
          <w:bCs/>
          <w:sz w:val="36"/>
          <w:szCs w:val="36"/>
        </w:rPr>
        <w:t>报价文件目录</w:t>
      </w:r>
      <w:bookmarkEnd w:id="110"/>
      <w:bookmarkEnd w:id="111"/>
    </w:p>
    <w:p>
      <w:pPr>
        <w:pStyle w:val="19"/>
      </w:pPr>
    </w:p>
    <w:p>
      <w:pPr>
        <w:rPr>
          <w:rFonts w:asciiTheme="minorEastAsia" w:hAnsiTheme="minorEastAsia" w:eastAsiaTheme="minorEastAsia" w:cstheme="minorEastAsia"/>
          <w:sz w:val="28"/>
          <w:szCs w:val="28"/>
        </w:rPr>
      </w:pPr>
    </w:p>
    <w:p>
      <w:pPr>
        <w:spacing w:line="360" w:lineRule="auto"/>
        <w:rPr>
          <w:rFonts w:asciiTheme="minorEastAsia" w:hAnsiTheme="minorEastAsia" w:eastAsiaTheme="minorEastAsia" w:cstheme="minorEastAsia"/>
          <w:sz w:val="28"/>
          <w:szCs w:val="28"/>
        </w:rPr>
      </w:pPr>
      <w:bookmarkStart w:id="112" w:name="_Toc29988_WPSOffice_Level1"/>
      <w:bookmarkStart w:id="113" w:name="_Toc6778_WPSOffice_Level1"/>
      <w:r>
        <w:rPr>
          <w:rFonts w:hint="eastAsia" w:asciiTheme="minorEastAsia" w:hAnsiTheme="minorEastAsia" w:eastAsiaTheme="minorEastAsia" w:cstheme="minorEastAsia"/>
          <w:sz w:val="28"/>
          <w:szCs w:val="28"/>
        </w:rPr>
        <w:t>1.开标一览表（附件11）</w:t>
      </w:r>
      <w:bookmarkEnd w:id="112"/>
      <w:bookmarkEnd w:id="113"/>
    </w:p>
    <w:p>
      <w:pPr>
        <w:spacing w:line="360" w:lineRule="auto"/>
        <w:rPr>
          <w:rFonts w:asciiTheme="minorEastAsia" w:hAnsiTheme="minorEastAsia" w:eastAsiaTheme="minorEastAsia" w:cstheme="minorEastAsia"/>
          <w:sz w:val="28"/>
          <w:szCs w:val="28"/>
        </w:rPr>
      </w:pPr>
      <w:bookmarkStart w:id="114" w:name="_Toc15601_WPSOffice_Level1"/>
      <w:bookmarkStart w:id="115" w:name="_Toc11601_WPSOffice_Level1"/>
      <w:r>
        <w:rPr>
          <w:rFonts w:hint="eastAsia" w:asciiTheme="minorEastAsia" w:hAnsiTheme="minorEastAsia" w:eastAsiaTheme="minorEastAsia" w:cstheme="minorEastAsia"/>
          <w:sz w:val="28"/>
          <w:szCs w:val="28"/>
        </w:rPr>
        <w:t>2.报价明细表（附件12）</w:t>
      </w:r>
      <w:bookmarkEnd w:id="114"/>
      <w:bookmarkEnd w:id="115"/>
    </w:p>
    <w:p>
      <w:pPr>
        <w:pStyle w:val="10"/>
        <w:spacing w:line="360" w:lineRule="auto"/>
        <w:outlineLvl w:val="1"/>
        <w:rPr>
          <w:rFonts w:asciiTheme="minorEastAsia" w:hAnsiTheme="minorEastAsia" w:eastAsiaTheme="minorEastAsia" w:cstheme="minorEastAsia"/>
          <w:sz w:val="28"/>
          <w:szCs w:val="28"/>
        </w:rPr>
      </w:pPr>
      <w:bookmarkStart w:id="116" w:name="_Toc17543_WPSOffice_Level1"/>
      <w:bookmarkStart w:id="117" w:name="_Toc45_WPSOffice_Level1"/>
      <w:r>
        <w:rPr>
          <w:rFonts w:hint="eastAsia" w:asciiTheme="minorEastAsia" w:hAnsiTheme="minorEastAsia" w:eastAsiaTheme="minorEastAsia" w:cstheme="minorEastAsia"/>
          <w:sz w:val="28"/>
          <w:szCs w:val="28"/>
        </w:rPr>
        <w:t>3.中小企业声明函、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（附件13）</w:t>
      </w:r>
      <w:bookmarkEnd w:id="116"/>
      <w:bookmarkEnd w:id="117"/>
    </w:p>
    <w:p>
      <w:pPr>
        <w:spacing w:line="360" w:lineRule="auto"/>
        <w:rPr>
          <w:rFonts w:asciiTheme="minorEastAsia" w:hAnsiTheme="minorEastAsia" w:eastAsiaTheme="minorEastAsia" w:cstheme="minorEastAsia"/>
          <w:sz w:val="28"/>
          <w:szCs w:val="28"/>
        </w:rPr>
      </w:pPr>
      <w:bookmarkStart w:id="118" w:name="_Toc14672_WPSOffice_Level1"/>
      <w:bookmarkStart w:id="119" w:name="_Toc3001_WPSOffice_Level1"/>
      <w:r>
        <w:rPr>
          <w:rFonts w:hint="eastAsia" w:asciiTheme="minorEastAsia" w:hAnsiTheme="minorEastAsia" w:eastAsiaTheme="minorEastAsia" w:cstheme="minorEastAsia"/>
          <w:sz w:val="28"/>
          <w:szCs w:val="28"/>
        </w:rPr>
        <w:t>4.针对报价投标人认为其他需要说明的</w:t>
      </w:r>
      <w:bookmarkEnd w:id="118"/>
      <w:bookmarkEnd w:id="119"/>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cs="宋体"/>
          <w:b/>
          <w:bCs/>
          <w:sz w:val="28"/>
          <w:szCs w:val="28"/>
        </w:rPr>
      </w:pPr>
      <w:r>
        <w:rPr>
          <w:rFonts w:hint="eastAsia" w:ascii="宋体" w:hAnsi="宋体" w:cs="宋体"/>
          <w:b/>
          <w:bCs/>
          <w:sz w:val="28"/>
          <w:szCs w:val="28"/>
        </w:rPr>
        <w:t>附件11</w:t>
      </w:r>
    </w:p>
    <w:p>
      <w:pPr>
        <w:spacing w:line="360" w:lineRule="auto"/>
        <w:ind w:left="-2" w:hanging="2"/>
        <w:jc w:val="center"/>
        <w:rPr>
          <w:rFonts w:ascii="宋体" w:hAnsi="宋体"/>
          <w:b/>
          <w:sz w:val="32"/>
          <w:szCs w:val="32"/>
        </w:rPr>
      </w:pPr>
      <w:bookmarkStart w:id="120" w:name="_Toc30363_WPSOffice_Level1"/>
      <w:bookmarkStart w:id="121" w:name="_Toc16144_WPSOffice_Level1"/>
      <w:r>
        <w:rPr>
          <w:rFonts w:hint="eastAsia" w:ascii="宋体" w:hAnsi="宋体"/>
          <w:b/>
          <w:sz w:val="32"/>
          <w:szCs w:val="32"/>
        </w:rPr>
        <w:t xml:space="preserve">开标一览表 </w:t>
      </w:r>
      <w:bookmarkEnd w:id="120"/>
      <w:bookmarkEnd w:id="121"/>
    </w:p>
    <w:p>
      <w:pPr>
        <w:spacing w:line="360" w:lineRule="auto"/>
        <w:ind w:left="-2" w:hanging="2"/>
        <w:jc w:val="center"/>
        <w:rPr>
          <w:rFonts w:ascii="宋体" w:hAnsi="宋体"/>
          <w:b/>
          <w:sz w:val="32"/>
          <w:szCs w:val="32"/>
        </w:rPr>
      </w:pPr>
    </w:p>
    <w:p>
      <w:pPr>
        <w:pStyle w:val="10"/>
        <w:spacing w:line="360" w:lineRule="auto"/>
        <w:ind w:firstLine="482" w:firstLineChars="200"/>
        <w:rPr>
          <w:rFonts w:hAnsi="宋体"/>
          <w:b/>
          <w:sz w:val="24"/>
        </w:rPr>
      </w:pPr>
      <w:r>
        <w:rPr>
          <w:rFonts w:hAnsi="宋体"/>
          <w:b/>
          <w:sz w:val="24"/>
        </w:rPr>
        <w:t>项目编号：</w:t>
      </w:r>
    </w:p>
    <w:p>
      <w:pPr>
        <w:pStyle w:val="38"/>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Cs w:val="21"/>
              </w:rPr>
            </w:pPr>
          </w:p>
        </w:tc>
      </w:tr>
    </w:tbl>
    <w:p>
      <w:pPr>
        <w:spacing w:line="360" w:lineRule="auto"/>
        <w:ind w:firstLine="422" w:firstLineChars="200"/>
        <w:rPr>
          <w:rFonts w:ascii="宋体" w:hAnsi="宋体"/>
          <w:sz w:val="24"/>
        </w:rPr>
      </w:pPr>
      <w:r>
        <w:rPr>
          <w:rFonts w:hint="eastAsia" w:ascii="宋体" w:hAnsi="宋体"/>
          <w:b/>
          <w:szCs w:val="21"/>
        </w:rPr>
        <w:t>填报要求：</w:t>
      </w:r>
      <w:r>
        <w:rPr>
          <w:rFonts w:hint="eastAsia" w:ascii="宋体" w:hAnsi="宋体"/>
          <w:szCs w:val="21"/>
        </w:rPr>
        <w:t>投标报价包括本项目采购需求和投入使用的所有费用，包括但不限于主件、标准附件、备品备件、施工、服务、专用工具、安装、调试、检验、培训、运输、保险、税款等。</w:t>
      </w:r>
    </w:p>
    <w:p>
      <w:pPr>
        <w:pStyle w:val="19"/>
        <w:ind w:left="0" w:leftChars="0" w:firstLine="0"/>
        <w:rPr>
          <w:rFonts w:ascii="宋体" w:hAnsi="宋体"/>
          <w:sz w:val="24"/>
        </w:rPr>
      </w:pPr>
    </w:p>
    <w:p>
      <w:pPr>
        <w:pStyle w:val="19"/>
        <w:ind w:left="0" w:leftChars="0" w:firstLine="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19"/>
      </w:pPr>
    </w:p>
    <w:p>
      <w:pPr>
        <w:rPr>
          <w:rFonts w:ascii="宋体" w:hAnsi="宋体" w:cs="宋体"/>
          <w:b/>
          <w:bCs/>
          <w:sz w:val="28"/>
          <w:szCs w:val="28"/>
        </w:rPr>
      </w:pPr>
      <w:r>
        <w:rPr>
          <w:rFonts w:hint="eastAsia" w:ascii="宋体" w:hAnsi="宋体" w:cs="宋体"/>
          <w:b/>
          <w:bCs/>
          <w:sz w:val="28"/>
          <w:szCs w:val="28"/>
        </w:rPr>
        <w:t>附件12</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0"/>
        <w:spacing w:line="360" w:lineRule="auto"/>
        <w:ind w:firstLine="482" w:firstLineChars="200"/>
        <w:rPr>
          <w:rFonts w:hAnsi="宋体"/>
          <w:b/>
          <w:sz w:val="24"/>
        </w:rPr>
      </w:pPr>
      <w:r>
        <w:rPr>
          <w:rFonts w:hAnsi="宋体"/>
          <w:b/>
          <w:sz w:val="24"/>
        </w:rPr>
        <w:t>项目编号：</w:t>
      </w:r>
    </w:p>
    <w:p>
      <w:pPr>
        <w:pStyle w:val="38"/>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序号</w:t>
            </w:r>
          </w:p>
        </w:tc>
        <w:tc>
          <w:tcPr>
            <w:tcW w:w="1921" w:type="dxa"/>
            <w:tcMar>
              <w:top w:w="57" w:type="dxa"/>
              <w:left w:w="108" w:type="dxa"/>
              <w:bottom w:w="0" w:type="dxa"/>
              <w:right w:w="108" w:type="dxa"/>
            </w:tcMar>
            <w:vAlign w:val="center"/>
          </w:tcPr>
          <w:p>
            <w:pPr>
              <w:spacing w:line="360" w:lineRule="auto"/>
              <w:rPr>
                <w:rFonts w:ascii="宋体" w:hAnsi="宋体"/>
                <w:b/>
                <w:szCs w:val="21"/>
              </w:rPr>
            </w:pPr>
            <w:r>
              <w:rPr>
                <w:rFonts w:hint="eastAsia" w:ascii="宋体" w:hAnsi="宋体"/>
                <w:b/>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Cs w:val="21"/>
              </w:rPr>
            </w:pPr>
            <w:r>
              <w:rPr>
                <w:rFonts w:hint="eastAsia" w:ascii="宋体" w:hAnsi="宋体"/>
                <w:b/>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单价（元/人/月）</w:t>
            </w:r>
          </w:p>
        </w:tc>
        <w:tc>
          <w:tcPr>
            <w:tcW w:w="1473"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小计</w:t>
            </w:r>
          </w:p>
        </w:tc>
        <w:tc>
          <w:tcPr>
            <w:tcW w:w="1266" w:type="dxa"/>
            <w:tcMar>
              <w:top w:w="57" w:type="dxa"/>
              <w:left w:w="108" w:type="dxa"/>
              <w:bottom w:w="0" w:type="dxa"/>
              <w:right w:w="108" w:type="dxa"/>
            </w:tcMar>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47"/>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47"/>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92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7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266"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19"/>
      </w:pPr>
    </w:p>
    <w:p>
      <w:pPr>
        <w:rPr>
          <w:rFonts w:ascii="宋体" w:hAnsi="宋体" w:cs="宋体"/>
          <w:b/>
          <w:bCs/>
          <w:sz w:val="28"/>
          <w:szCs w:val="28"/>
        </w:rPr>
      </w:pPr>
      <w:r>
        <w:rPr>
          <w:rFonts w:hint="eastAsia" w:ascii="宋体" w:hAnsi="宋体" w:cs="宋体"/>
          <w:b/>
          <w:bCs/>
          <w:sz w:val="28"/>
          <w:szCs w:val="28"/>
        </w:rPr>
        <w:t>附件12-1</w:t>
      </w:r>
    </w:p>
    <w:p>
      <w:pPr>
        <w:pStyle w:val="4"/>
        <w:spacing w:before="120" w:after="120"/>
        <w:jc w:val="center"/>
        <w:rPr>
          <w:sz w:val="36"/>
          <w:szCs w:val="36"/>
        </w:rPr>
      </w:pPr>
      <w:r>
        <w:rPr>
          <w:rFonts w:hint="eastAsia"/>
          <w:sz w:val="36"/>
          <w:szCs w:val="36"/>
        </w:rPr>
        <w:t>人员费用明细表</w:t>
      </w:r>
    </w:p>
    <w:p>
      <w:pPr>
        <w:pStyle w:val="2"/>
        <w:ind w:firstLine="6489" w:firstLineChars="2704"/>
        <w:rPr>
          <w:rFonts w:ascii="宋体" w:hAnsi="宋体"/>
          <w:sz w:val="24"/>
        </w:rPr>
      </w:pPr>
      <w:r>
        <w:rPr>
          <w:rFonts w:hint="eastAsia" w:ascii="宋体" w:hAnsi="宋体"/>
          <w:sz w:val="24"/>
        </w:rPr>
        <w:t>（</w:t>
      </w:r>
      <w:r>
        <w:rPr>
          <w:rFonts w:ascii="宋体" w:hAnsi="宋体"/>
          <w:sz w:val="24"/>
        </w:rPr>
        <w:t>单位：元）</w:t>
      </w:r>
    </w:p>
    <w:tbl>
      <w:tblPr>
        <w:tblStyle w:val="2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70"/>
        <w:gridCol w:w="825"/>
        <w:gridCol w:w="1335"/>
        <w:gridCol w:w="1569"/>
        <w:gridCol w:w="15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exact"/>
        </w:trPr>
        <w:tc>
          <w:tcPr>
            <w:tcW w:w="738" w:type="dxa"/>
            <w:vAlign w:val="center"/>
          </w:tcPr>
          <w:p>
            <w:pPr>
              <w:jc w:val="center"/>
              <w:rPr>
                <w:rFonts w:ascii="宋体" w:hAnsi="宋体"/>
              </w:rPr>
            </w:pPr>
            <w:r>
              <w:rPr>
                <w:rFonts w:hint="eastAsia" w:ascii="宋体" w:hAnsi="宋体"/>
              </w:rPr>
              <w:t>序号</w:t>
            </w:r>
          </w:p>
        </w:tc>
        <w:tc>
          <w:tcPr>
            <w:tcW w:w="1170" w:type="dxa"/>
            <w:vAlign w:val="center"/>
          </w:tcPr>
          <w:p>
            <w:pPr>
              <w:jc w:val="center"/>
              <w:rPr>
                <w:rFonts w:ascii="宋体" w:hAnsi="宋体"/>
              </w:rPr>
            </w:pPr>
            <w:r>
              <w:rPr>
                <w:rFonts w:hint="eastAsia" w:ascii="宋体" w:hAnsi="宋体"/>
              </w:rPr>
              <w:t>岗位</w:t>
            </w:r>
          </w:p>
        </w:tc>
        <w:tc>
          <w:tcPr>
            <w:tcW w:w="825" w:type="dxa"/>
            <w:vAlign w:val="center"/>
          </w:tcPr>
          <w:p>
            <w:pPr>
              <w:jc w:val="center"/>
              <w:rPr>
                <w:rFonts w:ascii="宋体" w:hAnsi="宋体"/>
              </w:rPr>
            </w:pPr>
            <w:r>
              <w:rPr>
                <w:rFonts w:hint="eastAsia" w:ascii="宋体" w:hAnsi="宋体"/>
              </w:rPr>
              <w:t>人数</w:t>
            </w:r>
          </w:p>
        </w:tc>
        <w:tc>
          <w:tcPr>
            <w:tcW w:w="1335" w:type="dxa"/>
            <w:vAlign w:val="center"/>
          </w:tcPr>
          <w:p>
            <w:pPr>
              <w:jc w:val="center"/>
              <w:rPr>
                <w:rFonts w:ascii="宋体" w:hAnsi="宋体"/>
              </w:rPr>
            </w:pPr>
            <w:r>
              <w:rPr>
                <w:rFonts w:hint="eastAsia" w:ascii="宋体" w:hAnsi="宋体"/>
              </w:rPr>
              <w:t>月工资（元/月/人）</w:t>
            </w:r>
          </w:p>
        </w:tc>
        <w:tc>
          <w:tcPr>
            <w:tcW w:w="1569" w:type="dxa"/>
            <w:vAlign w:val="center"/>
          </w:tcPr>
          <w:p>
            <w:pPr>
              <w:jc w:val="center"/>
              <w:rPr>
                <w:rFonts w:ascii="宋体" w:hAnsi="宋体"/>
              </w:rPr>
            </w:pPr>
            <w:r>
              <w:rPr>
                <w:rFonts w:hint="eastAsia" w:ascii="宋体" w:hAnsi="宋体"/>
              </w:rPr>
              <w:t>月缴纳社保费用（元/月/人）</w:t>
            </w:r>
          </w:p>
        </w:tc>
        <w:tc>
          <w:tcPr>
            <w:tcW w:w="1559" w:type="dxa"/>
            <w:vAlign w:val="center"/>
          </w:tcPr>
          <w:p>
            <w:pPr>
              <w:jc w:val="center"/>
              <w:rPr>
                <w:rFonts w:ascii="宋体" w:hAnsi="宋体"/>
              </w:rPr>
            </w:pPr>
            <w:r>
              <w:rPr>
                <w:rFonts w:hint="eastAsia" w:ascii="宋体" w:hAnsi="宋体"/>
              </w:rPr>
              <w:t>月福利、奖金（元/月/人）</w:t>
            </w:r>
          </w:p>
        </w:tc>
        <w:tc>
          <w:tcPr>
            <w:tcW w:w="2693" w:type="dxa"/>
            <w:vAlign w:val="center"/>
          </w:tcPr>
          <w:p>
            <w:pPr>
              <w:jc w:val="center"/>
              <w:rPr>
                <w:rFonts w:ascii="宋体" w:hAnsi="宋体"/>
              </w:rPr>
            </w:pPr>
            <w:r>
              <w:rPr>
                <w:rFonts w:ascii="宋体" w:hAnsi="宋体"/>
              </w:rPr>
              <w:t>小计（</w:t>
            </w:r>
            <w:r>
              <w:rPr>
                <w:rFonts w:hint="eastAsia" w:ascii="宋体" w:hAnsi="宋体"/>
              </w:rPr>
              <w:t>元/</w:t>
            </w:r>
            <w:r>
              <w:rPr>
                <w:rFonts w:ascii="宋体" w:hAnsi="宋体"/>
              </w:rPr>
              <w:t>36</w:t>
            </w:r>
            <w:r>
              <w:rPr>
                <w:rFonts w:hint="eastAsia" w:ascii="宋体" w:hAnsi="宋体"/>
              </w:rPr>
              <w:t>个月</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r>
              <w:rPr>
                <w:rFonts w:hint="eastAsia" w:ascii="宋体" w:hAnsi="宋体"/>
              </w:rPr>
              <w:t>1</w:t>
            </w: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738" w:type="dxa"/>
            <w:vAlign w:val="center"/>
          </w:tcPr>
          <w:p>
            <w:pPr>
              <w:jc w:val="center"/>
              <w:rPr>
                <w:rFonts w:ascii="宋体" w:hAnsi="宋体"/>
              </w:rPr>
            </w:pPr>
          </w:p>
        </w:tc>
        <w:tc>
          <w:tcPr>
            <w:tcW w:w="1170" w:type="dxa"/>
            <w:vAlign w:val="center"/>
          </w:tcPr>
          <w:p>
            <w:pPr>
              <w:jc w:val="center"/>
              <w:rPr>
                <w:rFonts w:ascii="宋体" w:hAnsi="宋体"/>
              </w:rPr>
            </w:pPr>
          </w:p>
        </w:tc>
        <w:tc>
          <w:tcPr>
            <w:tcW w:w="825" w:type="dxa"/>
            <w:vAlign w:val="center"/>
          </w:tcPr>
          <w:p>
            <w:pPr>
              <w:jc w:val="center"/>
              <w:rPr>
                <w:rFonts w:ascii="宋体" w:hAnsi="宋体"/>
              </w:rPr>
            </w:pPr>
          </w:p>
        </w:tc>
        <w:tc>
          <w:tcPr>
            <w:tcW w:w="1335" w:type="dxa"/>
            <w:vAlign w:val="center"/>
          </w:tcPr>
          <w:p>
            <w:pPr>
              <w:jc w:val="center"/>
              <w:rPr>
                <w:rFonts w:ascii="宋体" w:hAnsi="宋体"/>
              </w:rPr>
            </w:pPr>
          </w:p>
        </w:tc>
        <w:tc>
          <w:tcPr>
            <w:tcW w:w="1569" w:type="dxa"/>
            <w:vAlign w:val="center"/>
          </w:tcPr>
          <w:p>
            <w:pPr>
              <w:jc w:val="center"/>
              <w:rPr>
                <w:rFonts w:ascii="宋体" w:hAnsi="宋体"/>
              </w:rPr>
            </w:pPr>
          </w:p>
        </w:tc>
        <w:tc>
          <w:tcPr>
            <w:tcW w:w="1559" w:type="dxa"/>
            <w:vAlign w:val="center"/>
          </w:tcPr>
          <w:p>
            <w:pPr>
              <w:jc w:val="center"/>
              <w:rPr>
                <w:rFonts w:ascii="宋体" w:hAnsi="宋体"/>
              </w:rPr>
            </w:pPr>
          </w:p>
        </w:tc>
        <w:tc>
          <w:tcPr>
            <w:tcW w:w="269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7196" w:type="dxa"/>
            <w:gridSpan w:val="6"/>
            <w:vAlign w:val="center"/>
          </w:tcPr>
          <w:p>
            <w:pPr>
              <w:jc w:val="center"/>
              <w:rPr>
                <w:rFonts w:ascii="宋体" w:hAnsi="宋体"/>
              </w:rPr>
            </w:pPr>
            <w:r>
              <w:rPr>
                <w:rFonts w:hint="eastAsia" w:ascii="宋体" w:hAnsi="宋体"/>
              </w:rPr>
              <w:t>合计</w:t>
            </w:r>
          </w:p>
        </w:tc>
        <w:tc>
          <w:tcPr>
            <w:tcW w:w="2693" w:type="dxa"/>
            <w:vAlign w:val="center"/>
          </w:tcPr>
          <w:p>
            <w:pPr>
              <w:jc w:val="center"/>
              <w:rPr>
                <w:rFonts w:ascii="宋体" w:hAnsi="宋体"/>
              </w:rPr>
            </w:pPr>
          </w:p>
        </w:tc>
      </w:tr>
    </w:tbl>
    <w:p>
      <w:pPr>
        <w:ind w:right="-21" w:rightChars="-10"/>
        <w:rPr>
          <w:rFonts w:ascii="宋体" w:hAnsi="宋体"/>
        </w:rPr>
      </w:pPr>
    </w:p>
    <w:p>
      <w:pPr>
        <w:ind w:left="420"/>
        <w:rPr>
          <w:rFonts w:ascii="宋体" w:hAnsi="宋体"/>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rPr>
          <w:rFonts w:ascii="宋体" w:hAnsi="宋体"/>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rPr>
          <w:rFonts w:ascii="宋体" w:hAnsi="宋体" w:cs="宋体"/>
          <w:b/>
          <w:bCs/>
          <w:sz w:val="28"/>
          <w:szCs w:val="28"/>
        </w:rPr>
      </w:pPr>
      <w:r>
        <w:rPr>
          <w:rFonts w:hint="eastAsia" w:ascii="宋体" w:hAnsi="宋体" w:cs="宋体"/>
          <w:b/>
          <w:bCs/>
          <w:sz w:val="28"/>
          <w:szCs w:val="28"/>
        </w:rPr>
        <w:t>附件12-2</w:t>
      </w:r>
    </w:p>
    <w:p>
      <w:pPr>
        <w:pStyle w:val="5"/>
        <w:jc w:val="center"/>
        <w:rPr>
          <w:rFonts w:ascii="宋体" w:hAnsi="宋体"/>
          <w:sz w:val="36"/>
          <w:szCs w:val="36"/>
        </w:rPr>
      </w:pPr>
      <w:r>
        <w:rPr>
          <w:rFonts w:hint="eastAsia" w:ascii="宋体" w:hAnsi="宋体"/>
          <w:sz w:val="36"/>
          <w:szCs w:val="36"/>
        </w:rPr>
        <w:t>服装费明细表</w:t>
      </w:r>
    </w:p>
    <w:p>
      <w:pPr>
        <w:pStyle w:val="2"/>
        <w:ind w:firstLine="6489" w:firstLineChars="2704"/>
        <w:rPr>
          <w:rFonts w:ascii="宋体" w:hAnsi="宋体"/>
          <w:sz w:val="24"/>
        </w:rPr>
      </w:pPr>
      <w:r>
        <w:rPr>
          <w:rFonts w:hint="eastAsia" w:ascii="宋体" w:hAnsi="宋体"/>
          <w:sz w:val="24"/>
        </w:rPr>
        <w:t>（</w:t>
      </w:r>
      <w:r>
        <w:rPr>
          <w:rFonts w:ascii="宋体" w:hAnsi="宋体"/>
          <w:sz w:val="24"/>
        </w:rPr>
        <w:t>单位：元）</w:t>
      </w:r>
    </w:p>
    <w:tbl>
      <w:tblPr>
        <w:tblStyle w:val="20"/>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序号</w:t>
            </w:r>
          </w:p>
        </w:tc>
        <w:tc>
          <w:tcPr>
            <w:tcW w:w="2268" w:type="dxa"/>
            <w:vAlign w:val="center"/>
          </w:tcPr>
          <w:p>
            <w:pPr>
              <w:jc w:val="center"/>
              <w:rPr>
                <w:rFonts w:ascii="宋体" w:hAnsi="宋体"/>
              </w:rPr>
            </w:pPr>
            <w:r>
              <w:rPr>
                <w:rFonts w:hint="eastAsia" w:ascii="宋体" w:hAnsi="宋体"/>
              </w:rPr>
              <w:t>岗位</w:t>
            </w:r>
          </w:p>
        </w:tc>
        <w:tc>
          <w:tcPr>
            <w:tcW w:w="1420" w:type="dxa"/>
            <w:vAlign w:val="center"/>
          </w:tcPr>
          <w:p>
            <w:pPr>
              <w:jc w:val="center"/>
              <w:rPr>
                <w:rFonts w:ascii="宋体" w:hAnsi="宋体"/>
              </w:rPr>
            </w:pPr>
            <w:r>
              <w:rPr>
                <w:rFonts w:hint="eastAsia" w:ascii="宋体" w:hAnsi="宋体"/>
              </w:rPr>
              <w:t>人数</w:t>
            </w:r>
          </w:p>
        </w:tc>
        <w:tc>
          <w:tcPr>
            <w:tcW w:w="1420" w:type="dxa"/>
            <w:vAlign w:val="center"/>
          </w:tcPr>
          <w:p>
            <w:pPr>
              <w:jc w:val="center"/>
              <w:rPr>
                <w:rFonts w:ascii="宋体" w:hAnsi="宋体"/>
              </w:rPr>
            </w:pPr>
            <w:r>
              <w:rPr>
                <w:rFonts w:hint="eastAsia" w:ascii="宋体" w:hAnsi="宋体"/>
              </w:rPr>
              <w:t>套数</w:t>
            </w:r>
          </w:p>
        </w:tc>
        <w:tc>
          <w:tcPr>
            <w:tcW w:w="1420" w:type="dxa"/>
            <w:vAlign w:val="center"/>
          </w:tcPr>
          <w:p>
            <w:pPr>
              <w:jc w:val="center"/>
              <w:rPr>
                <w:rFonts w:ascii="宋体" w:hAnsi="宋体"/>
              </w:rPr>
            </w:pPr>
            <w:r>
              <w:rPr>
                <w:rFonts w:hint="eastAsia" w:ascii="宋体" w:hAnsi="宋体"/>
              </w:rPr>
              <w:t>单价</w:t>
            </w:r>
          </w:p>
        </w:tc>
        <w:tc>
          <w:tcPr>
            <w:tcW w:w="1701" w:type="dxa"/>
            <w:vAlign w:val="center"/>
          </w:tcPr>
          <w:p>
            <w:pPr>
              <w:jc w:val="center"/>
              <w:rPr>
                <w:rFonts w:ascii="宋体" w:hAnsi="宋体"/>
              </w:rPr>
            </w:pPr>
            <w:r>
              <w:rPr>
                <w:rFonts w:hint="eastAsia" w:ascii="宋体" w:hAnsi="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2</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3</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4</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5</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6</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7</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8</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9</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10</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11</w:t>
            </w:r>
          </w:p>
        </w:tc>
        <w:tc>
          <w:tcPr>
            <w:tcW w:w="2268" w:type="dxa"/>
            <w:vAlign w:val="center"/>
          </w:tcPr>
          <w:p>
            <w:pPr>
              <w:jc w:val="center"/>
              <w:rPr>
                <w:rFonts w:ascii="宋体" w:hAnsi="宋体"/>
              </w:rPr>
            </w:pPr>
            <w:r>
              <w:rPr>
                <w:rFonts w:hint="eastAsia" w:ascii="宋体" w:hAnsi="宋体"/>
              </w:rPr>
              <w:t>合计</w:t>
            </w: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bl>
    <w:p>
      <w:pPr>
        <w:rPr>
          <w:rFonts w:ascii="宋体" w:hAnsi="宋体"/>
        </w:rPr>
      </w:pPr>
    </w:p>
    <w:p>
      <w:pPr>
        <w:ind w:left="420"/>
        <w:rPr>
          <w:rFonts w:ascii="宋体" w:hAnsi="宋体"/>
          <w:u w:val="single"/>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rPr>
          <w:rFonts w:ascii="宋体" w:hAnsi="宋体"/>
          <w:b/>
          <w:bCs/>
          <w:sz w:val="28"/>
          <w:szCs w:val="28"/>
        </w:rPr>
      </w:pPr>
    </w:p>
    <w:p>
      <w:pPr>
        <w:rPr>
          <w:rFonts w:ascii="宋体" w:hAnsi="宋体" w:cs="宋体"/>
          <w:b/>
          <w:bCs/>
          <w:sz w:val="28"/>
          <w:szCs w:val="28"/>
        </w:rPr>
      </w:pPr>
      <w:r>
        <w:rPr>
          <w:rFonts w:hint="eastAsia" w:ascii="宋体" w:hAnsi="宋体" w:cs="宋体"/>
          <w:b/>
          <w:bCs/>
          <w:sz w:val="28"/>
          <w:szCs w:val="28"/>
        </w:rPr>
        <w:t>附件12-3</w:t>
      </w:r>
    </w:p>
    <w:p>
      <w:pPr>
        <w:jc w:val="center"/>
        <w:rPr>
          <w:sz w:val="36"/>
          <w:szCs w:val="36"/>
        </w:rPr>
      </w:pPr>
      <w:r>
        <w:rPr>
          <w:rFonts w:hint="eastAsia"/>
          <w:b/>
          <w:bCs/>
          <w:sz w:val="36"/>
          <w:szCs w:val="36"/>
        </w:rPr>
        <w:t>技术工种人员上岗证年检费</w:t>
      </w:r>
    </w:p>
    <w:p>
      <w:r>
        <w:rPr>
          <w:rFonts w:hint="eastAsia"/>
        </w:rPr>
        <w:t xml:space="preserve">                                                         （单元：元）</w:t>
      </w:r>
    </w:p>
    <w:tbl>
      <w:tblPr>
        <w:tblStyle w:val="20"/>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941"/>
        <w:gridCol w:w="1414"/>
        <w:gridCol w:w="1399"/>
        <w:gridCol w:w="1414"/>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r>
              <w:rPr>
                <w:rFonts w:hint="eastAsia"/>
                <w:szCs w:val="21"/>
              </w:rPr>
              <w:t>序号</w:t>
            </w:r>
          </w:p>
        </w:tc>
        <w:tc>
          <w:tcPr>
            <w:tcW w:w="1941" w:type="dxa"/>
            <w:vAlign w:val="center"/>
          </w:tcPr>
          <w:p>
            <w:pPr>
              <w:jc w:val="center"/>
              <w:rPr>
                <w:szCs w:val="21"/>
              </w:rPr>
            </w:pPr>
            <w:r>
              <w:rPr>
                <w:rFonts w:hint="eastAsia"/>
                <w:szCs w:val="21"/>
              </w:rPr>
              <w:t>岗位工种</w:t>
            </w:r>
          </w:p>
        </w:tc>
        <w:tc>
          <w:tcPr>
            <w:tcW w:w="1414" w:type="dxa"/>
            <w:vAlign w:val="center"/>
          </w:tcPr>
          <w:p>
            <w:pPr>
              <w:jc w:val="center"/>
              <w:rPr>
                <w:szCs w:val="21"/>
              </w:rPr>
            </w:pPr>
            <w:r>
              <w:rPr>
                <w:rFonts w:hint="eastAsia"/>
                <w:szCs w:val="21"/>
              </w:rPr>
              <w:t>人数</w:t>
            </w:r>
          </w:p>
        </w:tc>
        <w:tc>
          <w:tcPr>
            <w:tcW w:w="1399" w:type="dxa"/>
            <w:vAlign w:val="center"/>
          </w:tcPr>
          <w:p>
            <w:pPr>
              <w:jc w:val="center"/>
              <w:rPr>
                <w:szCs w:val="21"/>
              </w:rPr>
            </w:pPr>
            <w:r>
              <w:rPr>
                <w:rFonts w:hint="eastAsia"/>
                <w:szCs w:val="21"/>
              </w:rPr>
              <w:t>次数</w:t>
            </w:r>
          </w:p>
        </w:tc>
        <w:tc>
          <w:tcPr>
            <w:tcW w:w="1414" w:type="dxa"/>
            <w:vAlign w:val="center"/>
          </w:tcPr>
          <w:p>
            <w:pPr>
              <w:jc w:val="center"/>
              <w:rPr>
                <w:szCs w:val="21"/>
              </w:rPr>
            </w:pPr>
            <w:r>
              <w:rPr>
                <w:rFonts w:hint="eastAsia"/>
                <w:szCs w:val="21"/>
              </w:rPr>
              <w:t>单价</w:t>
            </w:r>
          </w:p>
        </w:tc>
        <w:tc>
          <w:tcPr>
            <w:tcW w:w="1595" w:type="dxa"/>
            <w:vAlign w:val="center"/>
          </w:tcPr>
          <w:p>
            <w:pPr>
              <w:jc w:val="center"/>
              <w:rPr>
                <w:szCs w:val="21"/>
              </w:rPr>
            </w:pPr>
            <w:r>
              <w:rPr>
                <w:rFonts w:hint="eastAsia"/>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1</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2</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3</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4</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5</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6</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7</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7" w:type="dxa"/>
            <w:vAlign w:val="center"/>
          </w:tcPr>
          <w:p>
            <w:pPr>
              <w:jc w:val="center"/>
              <w:rPr>
                <w:szCs w:val="21"/>
              </w:rPr>
            </w:pPr>
          </w:p>
          <w:p>
            <w:pPr>
              <w:jc w:val="center"/>
              <w:rPr>
                <w:szCs w:val="21"/>
              </w:rPr>
            </w:pPr>
            <w:r>
              <w:rPr>
                <w:rFonts w:hint="eastAsia"/>
                <w:szCs w:val="21"/>
              </w:rPr>
              <w:t>8</w:t>
            </w:r>
          </w:p>
        </w:tc>
        <w:tc>
          <w:tcPr>
            <w:tcW w:w="1941" w:type="dxa"/>
            <w:vAlign w:val="center"/>
          </w:tcPr>
          <w:p>
            <w:pPr>
              <w:jc w:val="center"/>
              <w:rPr>
                <w:szCs w:val="21"/>
              </w:rPr>
            </w:pP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37" w:type="dxa"/>
            <w:vAlign w:val="center"/>
          </w:tcPr>
          <w:p>
            <w:pPr>
              <w:jc w:val="center"/>
              <w:rPr>
                <w:szCs w:val="21"/>
              </w:rPr>
            </w:pPr>
          </w:p>
          <w:p>
            <w:pPr>
              <w:jc w:val="center"/>
              <w:rPr>
                <w:szCs w:val="21"/>
              </w:rPr>
            </w:pPr>
            <w:r>
              <w:rPr>
                <w:rFonts w:hint="eastAsia"/>
                <w:szCs w:val="21"/>
              </w:rPr>
              <w:t>9</w:t>
            </w:r>
          </w:p>
        </w:tc>
        <w:tc>
          <w:tcPr>
            <w:tcW w:w="1941" w:type="dxa"/>
            <w:vAlign w:val="center"/>
          </w:tcPr>
          <w:p>
            <w:pPr>
              <w:jc w:val="center"/>
              <w:rPr>
                <w:szCs w:val="21"/>
              </w:rPr>
            </w:pPr>
          </w:p>
          <w:p>
            <w:pPr>
              <w:jc w:val="center"/>
              <w:rPr>
                <w:szCs w:val="21"/>
              </w:rPr>
            </w:pPr>
            <w:r>
              <w:rPr>
                <w:rFonts w:hint="eastAsia"/>
                <w:szCs w:val="21"/>
              </w:rPr>
              <w:t>合计</w:t>
            </w:r>
          </w:p>
        </w:tc>
        <w:tc>
          <w:tcPr>
            <w:tcW w:w="1414" w:type="dxa"/>
            <w:vAlign w:val="center"/>
          </w:tcPr>
          <w:p>
            <w:pPr>
              <w:jc w:val="center"/>
              <w:rPr>
                <w:szCs w:val="21"/>
              </w:rPr>
            </w:pPr>
          </w:p>
        </w:tc>
        <w:tc>
          <w:tcPr>
            <w:tcW w:w="1399" w:type="dxa"/>
            <w:vAlign w:val="center"/>
          </w:tcPr>
          <w:p>
            <w:pPr>
              <w:jc w:val="center"/>
              <w:rPr>
                <w:szCs w:val="21"/>
              </w:rPr>
            </w:pPr>
          </w:p>
        </w:tc>
        <w:tc>
          <w:tcPr>
            <w:tcW w:w="1414" w:type="dxa"/>
            <w:vAlign w:val="center"/>
          </w:tcPr>
          <w:p>
            <w:pPr>
              <w:jc w:val="center"/>
              <w:rPr>
                <w:szCs w:val="21"/>
              </w:rPr>
            </w:pPr>
          </w:p>
        </w:tc>
        <w:tc>
          <w:tcPr>
            <w:tcW w:w="1595" w:type="dxa"/>
            <w:vAlign w:val="center"/>
          </w:tcPr>
          <w:p>
            <w:pPr>
              <w:jc w:val="center"/>
              <w:rPr>
                <w:szCs w:val="21"/>
              </w:rPr>
            </w:pPr>
          </w:p>
        </w:tc>
      </w:tr>
    </w:tbl>
    <w:p/>
    <w:p>
      <w:pPr>
        <w:ind w:left="420"/>
        <w:rPr>
          <w:rFonts w:ascii="宋体" w:hAnsi="宋体"/>
          <w:u w:val="single"/>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cs="宋体"/>
          <w:b/>
          <w:bCs/>
          <w:sz w:val="28"/>
          <w:szCs w:val="28"/>
        </w:rPr>
      </w:pPr>
      <w:r>
        <w:rPr>
          <w:rFonts w:hint="eastAsia" w:ascii="宋体" w:hAnsi="宋体" w:cs="宋体"/>
          <w:b/>
          <w:bCs/>
          <w:sz w:val="28"/>
          <w:szCs w:val="28"/>
        </w:rPr>
        <w:t>附件12-4</w:t>
      </w:r>
    </w:p>
    <w:p>
      <w:pPr>
        <w:pStyle w:val="5"/>
        <w:jc w:val="center"/>
        <w:rPr>
          <w:rFonts w:ascii="宋体" w:hAnsi="宋体"/>
          <w:sz w:val="36"/>
          <w:szCs w:val="36"/>
        </w:rPr>
      </w:pPr>
      <w:r>
        <w:rPr>
          <w:rFonts w:hint="eastAsia" w:ascii="宋体" w:hAnsi="宋体"/>
          <w:sz w:val="36"/>
          <w:szCs w:val="36"/>
        </w:rPr>
        <w:t>人员培训费</w:t>
      </w:r>
    </w:p>
    <w:p>
      <w:pPr>
        <w:pStyle w:val="2"/>
        <w:ind w:firstLine="6369" w:firstLineChars="2654"/>
        <w:rPr>
          <w:rFonts w:ascii="宋体" w:hAnsi="宋体"/>
          <w:sz w:val="24"/>
        </w:rPr>
      </w:pPr>
      <w:r>
        <w:rPr>
          <w:rFonts w:hint="eastAsia" w:ascii="宋体" w:hAnsi="宋体"/>
          <w:sz w:val="24"/>
        </w:rPr>
        <w:t>（</w:t>
      </w:r>
      <w:r>
        <w:rPr>
          <w:rFonts w:ascii="宋体" w:hAnsi="宋体"/>
          <w:sz w:val="24"/>
        </w:rPr>
        <w:t>单位：元）</w:t>
      </w:r>
    </w:p>
    <w:tbl>
      <w:tblPr>
        <w:tblStyle w:val="20"/>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序号</w:t>
            </w:r>
          </w:p>
        </w:tc>
        <w:tc>
          <w:tcPr>
            <w:tcW w:w="2268" w:type="dxa"/>
            <w:vAlign w:val="center"/>
          </w:tcPr>
          <w:p>
            <w:pPr>
              <w:jc w:val="center"/>
              <w:rPr>
                <w:rFonts w:ascii="宋体" w:hAnsi="宋体"/>
              </w:rPr>
            </w:pPr>
            <w:r>
              <w:rPr>
                <w:rFonts w:hint="eastAsia" w:ascii="宋体" w:hAnsi="宋体"/>
              </w:rPr>
              <w:t>岗位</w:t>
            </w:r>
          </w:p>
        </w:tc>
        <w:tc>
          <w:tcPr>
            <w:tcW w:w="1420" w:type="dxa"/>
            <w:vAlign w:val="center"/>
          </w:tcPr>
          <w:p>
            <w:pPr>
              <w:jc w:val="center"/>
              <w:rPr>
                <w:rFonts w:ascii="宋体" w:hAnsi="宋体"/>
              </w:rPr>
            </w:pPr>
            <w:r>
              <w:rPr>
                <w:rFonts w:hint="eastAsia" w:ascii="宋体" w:hAnsi="宋体"/>
              </w:rPr>
              <w:t>人数</w:t>
            </w:r>
          </w:p>
        </w:tc>
        <w:tc>
          <w:tcPr>
            <w:tcW w:w="1420" w:type="dxa"/>
            <w:vAlign w:val="center"/>
          </w:tcPr>
          <w:p>
            <w:pPr>
              <w:jc w:val="center"/>
              <w:rPr>
                <w:rFonts w:ascii="宋体" w:hAnsi="宋体"/>
              </w:rPr>
            </w:pPr>
            <w:r>
              <w:rPr>
                <w:rFonts w:hint="eastAsia" w:ascii="宋体" w:hAnsi="宋体"/>
              </w:rPr>
              <w:t>次数</w:t>
            </w:r>
          </w:p>
        </w:tc>
        <w:tc>
          <w:tcPr>
            <w:tcW w:w="1420" w:type="dxa"/>
            <w:vAlign w:val="center"/>
          </w:tcPr>
          <w:p>
            <w:pPr>
              <w:jc w:val="center"/>
              <w:rPr>
                <w:rFonts w:ascii="宋体" w:hAnsi="宋体"/>
              </w:rPr>
            </w:pPr>
            <w:r>
              <w:rPr>
                <w:rFonts w:hint="eastAsia" w:ascii="宋体" w:hAnsi="宋体"/>
              </w:rPr>
              <w:t>单价</w:t>
            </w:r>
          </w:p>
        </w:tc>
        <w:tc>
          <w:tcPr>
            <w:tcW w:w="1701" w:type="dxa"/>
            <w:vAlign w:val="center"/>
          </w:tcPr>
          <w:p>
            <w:pPr>
              <w:jc w:val="center"/>
              <w:rPr>
                <w:rFonts w:ascii="宋体" w:hAnsi="宋体"/>
              </w:rPr>
            </w:pPr>
            <w:r>
              <w:rPr>
                <w:rFonts w:hint="eastAsia" w:ascii="宋体" w:hAnsi="宋体"/>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2</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3</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4</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5</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6</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7</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8</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9</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p>
        </w:tc>
        <w:tc>
          <w:tcPr>
            <w:tcW w:w="2268" w:type="dxa"/>
            <w:vAlign w:val="center"/>
          </w:tcPr>
          <w:p>
            <w:pPr>
              <w:jc w:val="center"/>
              <w:rPr>
                <w:rFonts w:ascii="宋体" w:hAnsi="宋体"/>
              </w:rPr>
            </w:pPr>
            <w:r>
              <w:rPr>
                <w:rFonts w:ascii="宋体" w:hAnsi="宋体"/>
              </w:rPr>
              <w:t>…………</w:t>
            </w: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10</w:t>
            </w:r>
          </w:p>
        </w:tc>
        <w:tc>
          <w:tcPr>
            <w:tcW w:w="2268" w:type="dxa"/>
            <w:vAlign w:val="center"/>
          </w:tcPr>
          <w:p>
            <w:pPr>
              <w:jc w:val="center"/>
              <w:rPr>
                <w:rFonts w:ascii="宋体" w:hAnsi="宋体"/>
              </w:rPr>
            </w:pPr>
            <w:r>
              <w:rPr>
                <w:rFonts w:hint="eastAsia" w:ascii="宋体" w:hAnsi="宋体"/>
              </w:rPr>
              <w:t>合计</w:t>
            </w: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701" w:type="dxa"/>
            <w:vAlign w:val="center"/>
          </w:tcPr>
          <w:p>
            <w:pPr>
              <w:jc w:val="center"/>
              <w:rPr>
                <w:rFonts w:ascii="宋体" w:hAnsi="宋体"/>
              </w:rPr>
            </w:pPr>
          </w:p>
        </w:tc>
      </w:tr>
    </w:tbl>
    <w:p>
      <w:pPr>
        <w:rPr>
          <w:rFonts w:ascii="宋体" w:hAnsi="宋体"/>
        </w:rPr>
      </w:pPr>
    </w:p>
    <w:p>
      <w:pPr>
        <w:ind w:left="420"/>
        <w:rPr>
          <w:rFonts w:ascii="宋体" w:hAnsi="宋体"/>
          <w:u w:val="single"/>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rPr>
          <w:rFonts w:ascii="宋体" w:hAnsi="宋体"/>
          <w:b/>
          <w:bCs/>
          <w:sz w:val="28"/>
          <w:szCs w:val="28"/>
        </w:rPr>
      </w:pPr>
    </w:p>
    <w:p>
      <w:pPr>
        <w:rPr>
          <w:rFonts w:ascii="宋体" w:hAnsi="宋体" w:cs="宋体"/>
          <w:b/>
          <w:bCs/>
          <w:sz w:val="28"/>
          <w:szCs w:val="28"/>
        </w:rPr>
      </w:pPr>
      <w:r>
        <w:rPr>
          <w:rFonts w:hint="eastAsia" w:ascii="宋体" w:hAnsi="宋体" w:cs="宋体"/>
          <w:b/>
          <w:bCs/>
          <w:sz w:val="28"/>
          <w:szCs w:val="28"/>
        </w:rPr>
        <w:t>附件12-5</w:t>
      </w:r>
    </w:p>
    <w:p>
      <w:pPr>
        <w:pStyle w:val="5"/>
        <w:jc w:val="center"/>
        <w:rPr>
          <w:rFonts w:ascii="宋体" w:hAnsi="宋体"/>
          <w:sz w:val="36"/>
          <w:szCs w:val="36"/>
        </w:rPr>
      </w:pPr>
      <w:r>
        <w:rPr>
          <w:rFonts w:hint="eastAsia" w:ascii="宋体" w:hAnsi="宋体"/>
          <w:sz w:val="36"/>
          <w:szCs w:val="36"/>
        </w:rPr>
        <w:t>专用工具及耗材</w:t>
      </w:r>
    </w:p>
    <w:p>
      <w:pPr>
        <w:pStyle w:val="2"/>
        <w:ind w:firstLine="6489" w:firstLineChars="2704"/>
        <w:rPr>
          <w:rFonts w:ascii="宋体" w:hAnsi="宋体"/>
          <w:sz w:val="24"/>
        </w:rPr>
      </w:pPr>
      <w:r>
        <w:rPr>
          <w:rFonts w:hint="eastAsia" w:ascii="宋体" w:hAnsi="宋体"/>
          <w:sz w:val="24"/>
        </w:rPr>
        <w:t>（</w:t>
      </w:r>
      <w:r>
        <w:rPr>
          <w:rFonts w:ascii="宋体" w:hAnsi="宋体"/>
          <w:sz w:val="24"/>
        </w:rPr>
        <w:t>单位：元）</w:t>
      </w:r>
    </w:p>
    <w:tbl>
      <w:tblPr>
        <w:tblStyle w:val="2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序号</w:t>
            </w:r>
          </w:p>
        </w:tc>
        <w:tc>
          <w:tcPr>
            <w:tcW w:w="2268" w:type="dxa"/>
            <w:vAlign w:val="center"/>
          </w:tcPr>
          <w:p>
            <w:pPr>
              <w:jc w:val="center"/>
              <w:rPr>
                <w:rFonts w:ascii="宋体" w:hAnsi="宋体"/>
              </w:rPr>
            </w:pPr>
            <w:r>
              <w:rPr>
                <w:rFonts w:hint="eastAsia" w:ascii="宋体" w:hAnsi="宋体"/>
              </w:rPr>
              <w:t>名称</w:t>
            </w:r>
          </w:p>
        </w:tc>
        <w:tc>
          <w:tcPr>
            <w:tcW w:w="1420" w:type="dxa"/>
            <w:vAlign w:val="center"/>
          </w:tcPr>
          <w:p>
            <w:pPr>
              <w:jc w:val="center"/>
              <w:rPr>
                <w:rFonts w:ascii="宋体" w:hAnsi="宋体"/>
              </w:rPr>
            </w:pPr>
            <w:r>
              <w:rPr>
                <w:rFonts w:hint="eastAsia" w:ascii="宋体" w:hAnsi="宋体"/>
              </w:rPr>
              <w:t>件数</w:t>
            </w:r>
          </w:p>
        </w:tc>
        <w:tc>
          <w:tcPr>
            <w:tcW w:w="1420" w:type="dxa"/>
            <w:vAlign w:val="center"/>
          </w:tcPr>
          <w:p>
            <w:pPr>
              <w:jc w:val="center"/>
              <w:rPr>
                <w:rFonts w:ascii="宋体" w:hAnsi="宋体"/>
              </w:rPr>
            </w:pPr>
            <w:r>
              <w:rPr>
                <w:rFonts w:hint="eastAsia" w:ascii="宋体" w:hAnsi="宋体"/>
              </w:rPr>
              <w:t>单价</w:t>
            </w:r>
          </w:p>
        </w:tc>
        <w:tc>
          <w:tcPr>
            <w:tcW w:w="1420" w:type="dxa"/>
            <w:vAlign w:val="center"/>
          </w:tcPr>
          <w:p>
            <w:pPr>
              <w:jc w:val="center"/>
              <w:rPr>
                <w:rFonts w:ascii="宋体" w:hAnsi="宋体"/>
              </w:rPr>
            </w:pPr>
            <w:r>
              <w:rPr>
                <w:rFonts w:hint="eastAsia" w:ascii="宋体" w:hAnsi="宋体"/>
              </w:rPr>
              <w:t>金额</w:t>
            </w:r>
          </w:p>
        </w:tc>
        <w:tc>
          <w:tcPr>
            <w:tcW w:w="1969"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2</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3</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4</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5</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6</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7</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8</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9</w:t>
            </w:r>
          </w:p>
        </w:tc>
        <w:tc>
          <w:tcPr>
            <w:tcW w:w="2268"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jc w:val="center"/>
              <w:rPr>
                <w:rFonts w:ascii="宋体" w:hAnsi="宋体"/>
              </w:rPr>
            </w:pPr>
            <w:r>
              <w:rPr>
                <w:rFonts w:hint="eastAsia" w:ascii="宋体" w:hAnsi="宋体"/>
              </w:rPr>
              <w:t>10</w:t>
            </w:r>
          </w:p>
        </w:tc>
        <w:tc>
          <w:tcPr>
            <w:tcW w:w="2268" w:type="dxa"/>
            <w:vAlign w:val="center"/>
          </w:tcPr>
          <w:p>
            <w:pPr>
              <w:jc w:val="center"/>
              <w:rPr>
                <w:rFonts w:ascii="宋体" w:hAnsi="宋体"/>
              </w:rPr>
            </w:pPr>
            <w:r>
              <w:rPr>
                <w:rFonts w:hint="eastAsia" w:ascii="宋体" w:hAnsi="宋体"/>
              </w:rPr>
              <w:t>合计</w:t>
            </w: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420" w:type="dxa"/>
            <w:vAlign w:val="center"/>
          </w:tcPr>
          <w:p>
            <w:pPr>
              <w:jc w:val="center"/>
              <w:rPr>
                <w:rFonts w:ascii="宋体" w:hAnsi="宋体"/>
              </w:rPr>
            </w:pPr>
          </w:p>
        </w:tc>
        <w:tc>
          <w:tcPr>
            <w:tcW w:w="1969" w:type="dxa"/>
            <w:vAlign w:val="center"/>
          </w:tcPr>
          <w:p>
            <w:pPr>
              <w:jc w:val="center"/>
              <w:rPr>
                <w:rFonts w:ascii="宋体" w:hAnsi="宋体"/>
              </w:rPr>
            </w:pPr>
          </w:p>
        </w:tc>
      </w:tr>
    </w:tbl>
    <w:p>
      <w:pPr>
        <w:autoSpaceDE w:val="0"/>
        <w:autoSpaceDN w:val="0"/>
        <w:adjustRightInd w:val="0"/>
        <w:jc w:val="center"/>
        <w:rPr>
          <w:rFonts w:ascii="宋体" w:hAnsi="宋体"/>
        </w:rPr>
      </w:pPr>
    </w:p>
    <w:p>
      <w:pPr>
        <w:ind w:left="420"/>
        <w:rPr>
          <w:rFonts w:ascii="宋体" w:hAnsi="宋体"/>
          <w:u w:val="single"/>
        </w:rPr>
      </w:pPr>
      <w:r>
        <w:rPr>
          <w:rFonts w:hint="eastAsia" w:ascii="宋体" w:hAnsi="宋体"/>
        </w:rPr>
        <w:t>投标人名称（盖章）：</w:t>
      </w:r>
    </w:p>
    <w:p>
      <w:pPr>
        <w:ind w:firstLine="435"/>
        <w:rPr>
          <w:rFonts w:ascii="宋体" w:hAnsi="宋体"/>
        </w:rPr>
      </w:pPr>
      <w:r>
        <w:rPr>
          <w:rFonts w:hint="eastAsia" w:ascii="宋体" w:hAnsi="宋体"/>
        </w:rPr>
        <w:t>投标人代表签字或盖章：</w:t>
      </w:r>
    </w:p>
    <w:p>
      <w:pPr>
        <w:ind w:firstLine="435"/>
        <w:rPr>
          <w:rFonts w:ascii="宋体" w:hAnsi="宋体"/>
        </w:rPr>
      </w:pPr>
      <w:r>
        <w:rPr>
          <w:rFonts w:hint="eastAsia" w:ascii="宋体" w:hAnsi="宋体"/>
        </w:rPr>
        <w:t>职        务：</w:t>
      </w:r>
    </w:p>
    <w:p>
      <w:pPr>
        <w:ind w:firstLine="435"/>
        <w:rPr>
          <w:rFonts w:ascii="宋体" w:hAnsi="宋体"/>
        </w:rPr>
      </w:pPr>
      <w:r>
        <w:rPr>
          <w:rFonts w:hint="eastAsia" w:ascii="宋体" w:hAnsi="宋体"/>
        </w:rPr>
        <w:t>日        期：</w:t>
      </w:r>
    </w:p>
    <w:p>
      <w:pPr>
        <w:pStyle w:val="8"/>
      </w:pPr>
    </w:p>
    <w:p>
      <w:pPr>
        <w:pStyle w:val="8"/>
      </w:pPr>
    </w:p>
    <w:p>
      <w:pPr>
        <w:pStyle w:val="19"/>
      </w:pPr>
    </w:p>
    <w:p>
      <w:pPr>
        <w:rPr>
          <w:rFonts w:ascii="宋体" w:hAnsi="宋体" w:cs="宋体"/>
          <w:b/>
          <w:bCs/>
          <w:sz w:val="28"/>
          <w:szCs w:val="28"/>
        </w:rPr>
      </w:pPr>
      <w:r>
        <w:rPr>
          <w:rFonts w:hint="eastAsia" w:ascii="宋体" w:hAnsi="宋体" w:cs="宋体"/>
          <w:b/>
          <w:bCs/>
          <w:sz w:val="28"/>
          <w:szCs w:val="28"/>
        </w:rPr>
        <w:t>附件13</w:t>
      </w:r>
    </w:p>
    <w:p>
      <w:pPr>
        <w:pStyle w:val="39"/>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39"/>
        <w:spacing w:line="360" w:lineRule="auto"/>
        <w:jc w:val="center"/>
        <w:rPr>
          <w:rFonts w:ascii="宋体" w:hAnsi="宋体"/>
          <w:b/>
          <w:sz w:val="24"/>
          <w:lang w:val="en-GB"/>
        </w:rPr>
      </w:pPr>
    </w:p>
    <w:p>
      <w:pPr>
        <w:pStyle w:val="39"/>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39"/>
        <w:numPr>
          <w:ilvl w:val="0"/>
          <w:numId w:val="12"/>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39"/>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39"/>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39"/>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39"/>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39"/>
        <w:spacing w:line="360" w:lineRule="auto"/>
        <w:ind w:firstLine="480" w:firstLineChars="200"/>
        <w:rPr>
          <w:rFonts w:ascii="宋体" w:hAnsi="宋体" w:cs="Arial"/>
          <w:bCs/>
          <w:sz w:val="24"/>
        </w:rPr>
      </w:pPr>
    </w:p>
    <w:p>
      <w:pPr>
        <w:pStyle w:val="39"/>
        <w:spacing w:line="360" w:lineRule="auto"/>
        <w:rPr>
          <w:rFonts w:ascii="宋体" w:hAnsi="宋体"/>
          <w:sz w:val="24"/>
        </w:rPr>
      </w:pPr>
    </w:p>
    <w:p>
      <w:pPr>
        <w:pStyle w:val="39"/>
        <w:spacing w:line="360" w:lineRule="auto"/>
        <w:ind w:firstLine="4800" w:firstLineChars="2000"/>
        <w:rPr>
          <w:rFonts w:ascii="宋体" w:hAnsi="宋体"/>
          <w:sz w:val="24"/>
        </w:rPr>
      </w:pPr>
      <w:r>
        <w:rPr>
          <w:rFonts w:hint="eastAsia" w:ascii="宋体" w:hAnsi="宋体"/>
          <w:sz w:val="24"/>
        </w:rPr>
        <w:t xml:space="preserve">企业名称（盖章）：              </w:t>
      </w:r>
    </w:p>
    <w:p>
      <w:pPr>
        <w:pStyle w:val="39"/>
        <w:spacing w:line="360" w:lineRule="auto"/>
        <w:ind w:firstLine="4800" w:firstLineChars="2000"/>
        <w:rPr>
          <w:rFonts w:ascii="宋体" w:hAnsi="宋体"/>
          <w:sz w:val="24"/>
        </w:rPr>
      </w:pPr>
      <w:r>
        <w:rPr>
          <w:rFonts w:hint="eastAsia" w:ascii="宋体" w:hAnsi="宋体"/>
          <w:sz w:val="24"/>
        </w:rPr>
        <w:t>日 期：</w:t>
      </w:r>
    </w:p>
    <w:p>
      <w:pPr>
        <w:pStyle w:val="2"/>
        <w:rPr>
          <w:rFonts w:ascii="宋体" w:hAnsi="宋体" w:cs="宋体"/>
          <w:sz w:val="24"/>
          <w:szCs w:val="24"/>
        </w:rPr>
      </w:pPr>
    </w:p>
    <w:p>
      <w:pPr>
        <w:pStyle w:val="2"/>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0"/>
        <w:spacing w:line="360" w:lineRule="auto"/>
        <w:jc w:val="center"/>
        <w:outlineLvl w:val="1"/>
        <w:rPr>
          <w:rFonts w:hAnsi="宋体" w:cs="宋体"/>
          <w:b/>
          <w:sz w:val="32"/>
          <w:szCs w:val="32"/>
          <w:lang w:val="en-GB"/>
        </w:rPr>
      </w:pPr>
      <w:bookmarkStart w:id="122" w:name="_Toc27483_WPSOffice_Level1"/>
      <w:bookmarkStart w:id="123" w:name="_Toc17646_WPSOffice_Level1"/>
      <w:r>
        <w:rPr>
          <w:rFonts w:hint="eastAsia" w:hAnsi="宋体" w:cs="宋体"/>
          <w:b/>
          <w:sz w:val="32"/>
          <w:szCs w:val="32"/>
          <w:lang w:val="en-GB"/>
        </w:rPr>
        <w:t>残疾人福利性单位声明函</w:t>
      </w:r>
      <w:bookmarkEnd w:id="122"/>
      <w:bookmarkEnd w:id="123"/>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pStyle w:val="19"/>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39"/>
        <w:spacing w:line="360" w:lineRule="auto"/>
        <w:ind w:left="4788" w:leftChars="2280"/>
        <w:rPr>
          <w:rFonts w:ascii="宋体" w:hAnsi="宋体" w:cs="宋体"/>
          <w:sz w:val="24"/>
        </w:rPr>
      </w:pPr>
      <w:r>
        <w:rPr>
          <w:rFonts w:hint="eastAsia" w:ascii="宋体" w:hAnsi="宋体" w:cs="宋体"/>
          <w:sz w:val="24"/>
        </w:rPr>
        <w:t xml:space="preserve">       </w:t>
      </w:r>
    </w:p>
    <w:p>
      <w:pPr>
        <w:pStyle w:val="39"/>
        <w:spacing w:line="360" w:lineRule="auto"/>
        <w:ind w:left="4788" w:leftChars="2280"/>
        <w:rPr>
          <w:rFonts w:ascii="宋体" w:hAnsi="宋体"/>
          <w:sz w:val="24"/>
        </w:rPr>
      </w:pPr>
      <w:r>
        <w:rPr>
          <w:rFonts w:hint="eastAsia" w:ascii="宋体" w:hAnsi="宋体"/>
          <w:sz w:val="24"/>
        </w:rPr>
        <w:t>单位名称（盖章）：</w:t>
      </w:r>
    </w:p>
    <w:p>
      <w:pPr>
        <w:pStyle w:val="39"/>
        <w:spacing w:line="360" w:lineRule="auto"/>
        <w:ind w:left="3591" w:leftChars="1710" w:firstLine="1200" w:firstLineChars="500"/>
        <w:rPr>
          <w:rFonts w:ascii="宋体" w:hAnsi="宋体"/>
          <w:sz w:val="24"/>
        </w:rPr>
      </w:pPr>
      <w:r>
        <w:rPr>
          <w:rFonts w:hint="eastAsia" w:ascii="宋体" w:hAnsi="宋体"/>
          <w:sz w:val="24"/>
        </w:rPr>
        <w:t>日  期  ：</w:t>
      </w:r>
    </w:p>
    <w:p>
      <w:pPr>
        <w:spacing w:line="360" w:lineRule="auto"/>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三门县人民</w:t>
    </w:r>
    <w:r>
      <w:rPr>
        <w:b/>
        <w:i/>
        <w:color w:val="000000" w:themeColor="text1"/>
        <w:kern w:val="0"/>
        <w:sz w:val="18"/>
        <w:u w:val="single"/>
        <w14:textFill>
          <w14:solidFill>
            <w14:schemeClr w14:val="tx1"/>
          </w14:solidFill>
        </w14:textFill>
      </w:rPr>
      <w:t>检察院物业管理服务采购项目</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74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74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74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C8F99F11"/>
    <w:multiLevelType w:val="singleLevel"/>
    <w:tmpl w:val="C8F99F11"/>
    <w:lvl w:ilvl="0" w:tentative="0">
      <w:start w:val="1"/>
      <w:numFmt w:val="decimal"/>
      <w:lvlText w:val="%1."/>
      <w:lvlJc w:val="left"/>
      <w:pPr>
        <w:ind w:left="425" w:hanging="425"/>
      </w:pPr>
      <w:rPr>
        <w:rFonts w:hint="default"/>
      </w:rPr>
    </w:lvl>
  </w:abstractNum>
  <w:abstractNum w:abstractNumId="2">
    <w:nsid w:val="D238A5D5"/>
    <w:multiLevelType w:val="multilevel"/>
    <w:tmpl w:val="D238A5D5"/>
    <w:lvl w:ilvl="0" w:tentative="0">
      <w:start w:val="1"/>
      <w:numFmt w:val="chineseCounting"/>
      <w:pStyle w:val="3"/>
      <w:lvlText w:val="第%1章"/>
      <w:lvlJc w:val="left"/>
      <w:pPr>
        <w:ind w:left="425" w:hanging="425"/>
      </w:pPr>
      <w:rPr>
        <w:rFonts w:hint="eastAsia" w:ascii="宋体" w:hAnsi="宋体" w:eastAsia="宋体" w:cs="宋体"/>
        <w:sz w:val="36"/>
        <w:szCs w:val="36"/>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5">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6">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7">
    <w:nsid w:val="3CEB21C5"/>
    <w:multiLevelType w:val="singleLevel"/>
    <w:tmpl w:val="3CEB21C5"/>
    <w:lvl w:ilvl="0" w:tentative="0">
      <w:start w:val="1"/>
      <w:numFmt w:val="decimal"/>
      <w:lvlText w:val="%1."/>
      <w:lvlJc w:val="left"/>
      <w:pPr>
        <w:tabs>
          <w:tab w:val="left" w:pos="312"/>
        </w:tabs>
      </w:pPr>
    </w:lvl>
  </w:abstractNum>
  <w:abstractNum w:abstractNumId="8">
    <w:nsid w:val="53F985B4"/>
    <w:multiLevelType w:val="singleLevel"/>
    <w:tmpl w:val="53F985B4"/>
    <w:lvl w:ilvl="0" w:tentative="0">
      <w:start w:val="1"/>
      <w:numFmt w:val="decimal"/>
      <w:lvlText w:val="%1."/>
      <w:lvlJc w:val="left"/>
      <w:pPr>
        <w:tabs>
          <w:tab w:val="left" w:pos="312"/>
        </w:tabs>
      </w:p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78CFB24"/>
    <w:multiLevelType w:val="singleLevel"/>
    <w:tmpl w:val="678CFB24"/>
    <w:lvl w:ilvl="0" w:tentative="0">
      <w:start w:val="1"/>
      <w:numFmt w:val="chineseCounting"/>
      <w:suff w:val="nothing"/>
      <w:lvlText w:val="%1、"/>
      <w:lvlJc w:val="left"/>
      <w:rPr>
        <w:rFonts w:hint="eastAsia"/>
      </w:rPr>
    </w:lvl>
  </w:abstractNum>
  <w:abstractNum w:abstractNumId="11">
    <w:nsid w:val="7488A27B"/>
    <w:multiLevelType w:val="singleLevel"/>
    <w:tmpl w:val="7488A27B"/>
    <w:lvl w:ilvl="0" w:tentative="0">
      <w:start w:val="1"/>
      <w:numFmt w:val="decimal"/>
      <w:lvlText w:val="%1."/>
      <w:lvlJc w:val="left"/>
      <w:pPr>
        <w:ind w:left="425" w:hanging="425"/>
      </w:pPr>
      <w:rPr>
        <w:rFonts w:hint="default"/>
      </w:rPr>
    </w:lvl>
  </w:abstractNum>
  <w:num w:numId="1">
    <w:abstractNumId w:val="2"/>
  </w:num>
  <w:num w:numId="2">
    <w:abstractNumId w:val="6"/>
  </w:num>
  <w:num w:numId="3">
    <w:abstractNumId w:val="10"/>
  </w:num>
  <w:num w:numId="4">
    <w:abstractNumId w:val="3"/>
  </w:num>
  <w:num w:numId="5">
    <w:abstractNumId w:val="4"/>
  </w:num>
  <w:num w:numId="6">
    <w:abstractNumId w:val="5"/>
  </w:num>
  <w:num w:numId="7">
    <w:abstractNumId w:val="7"/>
  </w:num>
  <w:num w:numId="8">
    <w:abstractNumId w:val="0"/>
  </w:num>
  <w:num w:numId="9">
    <w:abstractNumId w:val="9"/>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0224C"/>
    <w:rsid w:val="00006082"/>
    <w:rsid w:val="00030D77"/>
    <w:rsid w:val="000464C4"/>
    <w:rsid w:val="00071BA1"/>
    <w:rsid w:val="000A2B60"/>
    <w:rsid w:val="00100AE0"/>
    <w:rsid w:val="001146EF"/>
    <w:rsid w:val="00141359"/>
    <w:rsid w:val="00154000"/>
    <w:rsid w:val="00165EE9"/>
    <w:rsid w:val="00186236"/>
    <w:rsid w:val="001938D0"/>
    <w:rsid w:val="001F7E5A"/>
    <w:rsid w:val="00281D4D"/>
    <w:rsid w:val="00291503"/>
    <w:rsid w:val="0029348D"/>
    <w:rsid w:val="002B4608"/>
    <w:rsid w:val="002D197F"/>
    <w:rsid w:val="003051A2"/>
    <w:rsid w:val="00315916"/>
    <w:rsid w:val="003B58FF"/>
    <w:rsid w:val="003C4ADB"/>
    <w:rsid w:val="003D2553"/>
    <w:rsid w:val="004025BE"/>
    <w:rsid w:val="0049548B"/>
    <w:rsid w:val="004A5A27"/>
    <w:rsid w:val="004C543D"/>
    <w:rsid w:val="0054546F"/>
    <w:rsid w:val="005626DE"/>
    <w:rsid w:val="005B1479"/>
    <w:rsid w:val="005D0DD1"/>
    <w:rsid w:val="005F3522"/>
    <w:rsid w:val="00667357"/>
    <w:rsid w:val="00686FFE"/>
    <w:rsid w:val="00697AE9"/>
    <w:rsid w:val="006D354D"/>
    <w:rsid w:val="006D5C96"/>
    <w:rsid w:val="006E7A26"/>
    <w:rsid w:val="007229E3"/>
    <w:rsid w:val="00743ABA"/>
    <w:rsid w:val="007477AD"/>
    <w:rsid w:val="00766016"/>
    <w:rsid w:val="00793E83"/>
    <w:rsid w:val="00793F93"/>
    <w:rsid w:val="007A58DE"/>
    <w:rsid w:val="008248FA"/>
    <w:rsid w:val="008325DA"/>
    <w:rsid w:val="008663DC"/>
    <w:rsid w:val="00905DA1"/>
    <w:rsid w:val="00970F09"/>
    <w:rsid w:val="00977C43"/>
    <w:rsid w:val="00987EDA"/>
    <w:rsid w:val="009D46C4"/>
    <w:rsid w:val="009D6A9E"/>
    <w:rsid w:val="009D7533"/>
    <w:rsid w:val="00A23A59"/>
    <w:rsid w:val="00A24A46"/>
    <w:rsid w:val="00A532AC"/>
    <w:rsid w:val="00A80AF4"/>
    <w:rsid w:val="00A823C5"/>
    <w:rsid w:val="00A85AC9"/>
    <w:rsid w:val="00A877C8"/>
    <w:rsid w:val="00A921FD"/>
    <w:rsid w:val="00AB072A"/>
    <w:rsid w:val="00AB49B7"/>
    <w:rsid w:val="00B462C1"/>
    <w:rsid w:val="00B56935"/>
    <w:rsid w:val="00B66467"/>
    <w:rsid w:val="00BC228C"/>
    <w:rsid w:val="00C036BE"/>
    <w:rsid w:val="00C061A0"/>
    <w:rsid w:val="00C50B60"/>
    <w:rsid w:val="00C52A0D"/>
    <w:rsid w:val="00C66689"/>
    <w:rsid w:val="00CA2C6C"/>
    <w:rsid w:val="00CB3592"/>
    <w:rsid w:val="00CD44A1"/>
    <w:rsid w:val="00CE6225"/>
    <w:rsid w:val="00D0009A"/>
    <w:rsid w:val="00D14AD5"/>
    <w:rsid w:val="00D325EC"/>
    <w:rsid w:val="00D40771"/>
    <w:rsid w:val="00D41191"/>
    <w:rsid w:val="00D42C71"/>
    <w:rsid w:val="00D5376D"/>
    <w:rsid w:val="00D81728"/>
    <w:rsid w:val="00DB1553"/>
    <w:rsid w:val="00DC6D2A"/>
    <w:rsid w:val="00DD19C6"/>
    <w:rsid w:val="00DE533B"/>
    <w:rsid w:val="00E008C2"/>
    <w:rsid w:val="00E42018"/>
    <w:rsid w:val="00EA0A55"/>
    <w:rsid w:val="00F87963"/>
    <w:rsid w:val="00FA4E07"/>
    <w:rsid w:val="00FC1E7F"/>
    <w:rsid w:val="00FD4327"/>
    <w:rsid w:val="00FF5372"/>
    <w:rsid w:val="00FF7A94"/>
    <w:rsid w:val="010742D5"/>
    <w:rsid w:val="010F7B98"/>
    <w:rsid w:val="01270A4D"/>
    <w:rsid w:val="01851778"/>
    <w:rsid w:val="01A729ED"/>
    <w:rsid w:val="01AE11E6"/>
    <w:rsid w:val="01B729F0"/>
    <w:rsid w:val="01E96BCD"/>
    <w:rsid w:val="01F53A09"/>
    <w:rsid w:val="02222883"/>
    <w:rsid w:val="028860B5"/>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620A2"/>
    <w:rsid w:val="0D3F7F2E"/>
    <w:rsid w:val="0D6344EC"/>
    <w:rsid w:val="0D705EC6"/>
    <w:rsid w:val="0D7446FA"/>
    <w:rsid w:val="0DB14507"/>
    <w:rsid w:val="0DB757B9"/>
    <w:rsid w:val="0DC03255"/>
    <w:rsid w:val="0DE545F3"/>
    <w:rsid w:val="0DE7555E"/>
    <w:rsid w:val="0E0316BF"/>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101447"/>
    <w:rsid w:val="12215961"/>
    <w:rsid w:val="125F1817"/>
    <w:rsid w:val="128D04EC"/>
    <w:rsid w:val="12AA2320"/>
    <w:rsid w:val="12DB53B1"/>
    <w:rsid w:val="12E81B94"/>
    <w:rsid w:val="13257C63"/>
    <w:rsid w:val="1332423C"/>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4F905C9"/>
    <w:rsid w:val="15287486"/>
    <w:rsid w:val="15840A84"/>
    <w:rsid w:val="15AF033B"/>
    <w:rsid w:val="16031113"/>
    <w:rsid w:val="160C1329"/>
    <w:rsid w:val="16332D75"/>
    <w:rsid w:val="16502A53"/>
    <w:rsid w:val="16725D01"/>
    <w:rsid w:val="16777B9F"/>
    <w:rsid w:val="168E2344"/>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8E01C0"/>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8330BD"/>
    <w:rsid w:val="29B00B02"/>
    <w:rsid w:val="29B661A7"/>
    <w:rsid w:val="29DB1483"/>
    <w:rsid w:val="29DC3277"/>
    <w:rsid w:val="29FA460F"/>
    <w:rsid w:val="2A0B6D48"/>
    <w:rsid w:val="2A397DF9"/>
    <w:rsid w:val="2A7C5019"/>
    <w:rsid w:val="2A8E3410"/>
    <w:rsid w:val="2AC017A8"/>
    <w:rsid w:val="2B127E2F"/>
    <w:rsid w:val="2B3677A4"/>
    <w:rsid w:val="2B7F5D7B"/>
    <w:rsid w:val="2B9073EB"/>
    <w:rsid w:val="2BAD682D"/>
    <w:rsid w:val="2BC41873"/>
    <w:rsid w:val="2BEE5A9C"/>
    <w:rsid w:val="2C3E7CF4"/>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D13170"/>
    <w:rsid w:val="2F011E82"/>
    <w:rsid w:val="2F415E64"/>
    <w:rsid w:val="2F60404A"/>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C90302"/>
    <w:rsid w:val="31D953B1"/>
    <w:rsid w:val="31EC1741"/>
    <w:rsid w:val="31EF6CF0"/>
    <w:rsid w:val="31F40ED5"/>
    <w:rsid w:val="31F7619B"/>
    <w:rsid w:val="321949C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0458"/>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E4A11"/>
    <w:rsid w:val="3A27520A"/>
    <w:rsid w:val="3A3F6C87"/>
    <w:rsid w:val="3A465FD4"/>
    <w:rsid w:val="3A956A72"/>
    <w:rsid w:val="3AD70862"/>
    <w:rsid w:val="3AE76311"/>
    <w:rsid w:val="3B1109C9"/>
    <w:rsid w:val="3B2552D7"/>
    <w:rsid w:val="3B2F3809"/>
    <w:rsid w:val="3B3F7D03"/>
    <w:rsid w:val="3B936123"/>
    <w:rsid w:val="3B970D6B"/>
    <w:rsid w:val="3BE51125"/>
    <w:rsid w:val="3BE90506"/>
    <w:rsid w:val="3BEB6832"/>
    <w:rsid w:val="3BF178CC"/>
    <w:rsid w:val="3BFA2E9E"/>
    <w:rsid w:val="3C40766B"/>
    <w:rsid w:val="3C476B61"/>
    <w:rsid w:val="3C583A62"/>
    <w:rsid w:val="3C813EBD"/>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4E5041"/>
    <w:rsid w:val="3F506818"/>
    <w:rsid w:val="3FE36C1C"/>
    <w:rsid w:val="3FEB19D5"/>
    <w:rsid w:val="3FF15ABF"/>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734131"/>
    <w:rsid w:val="48801F0A"/>
    <w:rsid w:val="489C4879"/>
    <w:rsid w:val="489C7EA5"/>
    <w:rsid w:val="49276E58"/>
    <w:rsid w:val="494B4338"/>
    <w:rsid w:val="497C5511"/>
    <w:rsid w:val="49B65DC9"/>
    <w:rsid w:val="49CB0547"/>
    <w:rsid w:val="4A131AB1"/>
    <w:rsid w:val="4A34760C"/>
    <w:rsid w:val="4A64259A"/>
    <w:rsid w:val="4AA4128B"/>
    <w:rsid w:val="4AAA7028"/>
    <w:rsid w:val="4AD50D4A"/>
    <w:rsid w:val="4ADC75C4"/>
    <w:rsid w:val="4AEF3E4F"/>
    <w:rsid w:val="4B113928"/>
    <w:rsid w:val="4B2977E3"/>
    <w:rsid w:val="4B3A3263"/>
    <w:rsid w:val="4B404F96"/>
    <w:rsid w:val="4B5F395F"/>
    <w:rsid w:val="4BB73A13"/>
    <w:rsid w:val="4BE22955"/>
    <w:rsid w:val="4C491FB6"/>
    <w:rsid w:val="4C60411D"/>
    <w:rsid w:val="4C846DD6"/>
    <w:rsid w:val="4C9743B6"/>
    <w:rsid w:val="4CA56DBD"/>
    <w:rsid w:val="4CCD70EB"/>
    <w:rsid w:val="4CD15334"/>
    <w:rsid w:val="4CDC2AC2"/>
    <w:rsid w:val="4CEF194A"/>
    <w:rsid w:val="4D123D13"/>
    <w:rsid w:val="4D4473CA"/>
    <w:rsid w:val="4D594184"/>
    <w:rsid w:val="4D670A85"/>
    <w:rsid w:val="4D80617B"/>
    <w:rsid w:val="4D806473"/>
    <w:rsid w:val="4DB87F6B"/>
    <w:rsid w:val="4DC608A6"/>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D3BA3"/>
    <w:rsid w:val="50E61CAB"/>
    <w:rsid w:val="50E8074E"/>
    <w:rsid w:val="5132754D"/>
    <w:rsid w:val="513564CC"/>
    <w:rsid w:val="514E3A09"/>
    <w:rsid w:val="517C3AF1"/>
    <w:rsid w:val="51915B3D"/>
    <w:rsid w:val="519F5121"/>
    <w:rsid w:val="5229273F"/>
    <w:rsid w:val="52547228"/>
    <w:rsid w:val="529432E6"/>
    <w:rsid w:val="52A8026E"/>
    <w:rsid w:val="52EC7710"/>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2A3A4B"/>
    <w:rsid w:val="5533415E"/>
    <w:rsid w:val="553D5A1E"/>
    <w:rsid w:val="555B4C1C"/>
    <w:rsid w:val="55665E4B"/>
    <w:rsid w:val="557564F8"/>
    <w:rsid w:val="557C6AE7"/>
    <w:rsid w:val="55A0704C"/>
    <w:rsid w:val="55A923B9"/>
    <w:rsid w:val="55DD38ED"/>
    <w:rsid w:val="55E72D6A"/>
    <w:rsid w:val="561A3EA2"/>
    <w:rsid w:val="56434C8D"/>
    <w:rsid w:val="568A68D9"/>
    <w:rsid w:val="56A438D4"/>
    <w:rsid w:val="56BA5C7F"/>
    <w:rsid w:val="56D50ABF"/>
    <w:rsid w:val="56DA40DC"/>
    <w:rsid w:val="56EA1F97"/>
    <w:rsid w:val="570F0FFB"/>
    <w:rsid w:val="574E065D"/>
    <w:rsid w:val="575B7C13"/>
    <w:rsid w:val="576E7E03"/>
    <w:rsid w:val="578A5B09"/>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A44866"/>
    <w:rsid w:val="5BA954B6"/>
    <w:rsid w:val="5BB47CCC"/>
    <w:rsid w:val="5BD05B9D"/>
    <w:rsid w:val="5BD343E6"/>
    <w:rsid w:val="5BE00F61"/>
    <w:rsid w:val="5BFB5206"/>
    <w:rsid w:val="5CB65A64"/>
    <w:rsid w:val="5CD26BB3"/>
    <w:rsid w:val="5CEB063E"/>
    <w:rsid w:val="5D0B0214"/>
    <w:rsid w:val="5D1A0A42"/>
    <w:rsid w:val="5D4F1710"/>
    <w:rsid w:val="5D71045F"/>
    <w:rsid w:val="5D740167"/>
    <w:rsid w:val="5D7B7702"/>
    <w:rsid w:val="5DA55EAC"/>
    <w:rsid w:val="5DAC626B"/>
    <w:rsid w:val="5E146811"/>
    <w:rsid w:val="5E3F1ED0"/>
    <w:rsid w:val="5E4A015A"/>
    <w:rsid w:val="5E4E1E2F"/>
    <w:rsid w:val="5E623A32"/>
    <w:rsid w:val="5E7E280E"/>
    <w:rsid w:val="5EA343F9"/>
    <w:rsid w:val="5F164D5E"/>
    <w:rsid w:val="5F2D2E3D"/>
    <w:rsid w:val="5F511649"/>
    <w:rsid w:val="5F741C71"/>
    <w:rsid w:val="5F884475"/>
    <w:rsid w:val="5F940261"/>
    <w:rsid w:val="5FAC17B4"/>
    <w:rsid w:val="5FBE713C"/>
    <w:rsid w:val="5FDA399F"/>
    <w:rsid w:val="5FFA79ED"/>
    <w:rsid w:val="60350249"/>
    <w:rsid w:val="606D0EF6"/>
    <w:rsid w:val="60806A99"/>
    <w:rsid w:val="60B442A8"/>
    <w:rsid w:val="60FD7810"/>
    <w:rsid w:val="61013040"/>
    <w:rsid w:val="610E310A"/>
    <w:rsid w:val="611C35B8"/>
    <w:rsid w:val="611D1C0E"/>
    <w:rsid w:val="61A25580"/>
    <w:rsid w:val="61AE7556"/>
    <w:rsid w:val="61C55F7F"/>
    <w:rsid w:val="61CA3612"/>
    <w:rsid w:val="61D41854"/>
    <w:rsid w:val="61D629F6"/>
    <w:rsid w:val="61F46458"/>
    <w:rsid w:val="62282B27"/>
    <w:rsid w:val="625A6442"/>
    <w:rsid w:val="62C31135"/>
    <w:rsid w:val="62C76106"/>
    <w:rsid w:val="62CC474C"/>
    <w:rsid w:val="637B0B27"/>
    <w:rsid w:val="63874046"/>
    <w:rsid w:val="638B4892"/>
    <w:rsid w:val="63BB45AD"/>
    <w:rsid w:val="63C73E6D"/>
    <w:rsid w:val="63DD4529"/>
    <w:rsid w:val="63FC0611"/>
    <w:rsid w:val="64010633"/>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3F077C"/>
    <w:rsid w:val="66475BEE"/>
    <w:rsid w:val="66921396"/>
    <w:rsid w:val="669A00A1"/>
    <w:rsid w:val="669A0A1D"/>
    <w:rsid w:val="66C77EC3"/>
    <w:rsid w:val="66CD32EE"/>
    <w:rsid w:val="66EF31C1"/>
    <w:rsid w:val="67286643"/>
    <w:rsid w:val="67340A1D"/>
    <w:rsid w:val="67415D12"/>
    <w:rsid w:val="67645CC5"/>
    <w:rsid w:val="679D0438"/>
    <w:rsid w:val="679F14A6"/>
    <w:rsid w:val="67A7594A"/>
    <w:rsid w:val="67E06A8D"/>
    <w:rsid w:val="67F71CAA"/>
    <w:rsid w:val="6833136E"/>
    <w:rsid w:val="6833745E"/>
    <w:rsid w:val="68374646"/>
    <w:rsid w:val="6851003F"/>
    <w:rsid w:val="68532F31"/>
    <w:rsid w:val="685F2B0C"/>
    <w:rsid w:val="686A5890"/>
    <w:rsid w:val="686E4CA0"/>
    <w:rsid w:val="6870598D"/>
    <w:rsid w:val="68CD56D6"/>
    <w:rsid w:val="68CE0878"/>
    <w:rsid w:val="68DF3F07"/>
    <w:rsid w:val="68E14DD2"/>
    <w:rsid w:val="68F23A0B"/>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5D1615"/>
    <w:rsid w:val="6A667351"/>
    <w:rsid w:val="6A690452"/>
    <w:rsid w:val="6AC86B5F"/>
    <w:rsid w:val="6AD5470C"/>
    <w:rsid w:val="6AF1512E"/>
    <w:rsid w:val="6B372870"/>
    <w:rsid w:val="6B4C78DC"/>
    <w:rsid w:val="6B6D4BD4"/>
    <w:rsid w:val="6B736C65"/>
    <w:rsid w:val="6B884223"/>
    <w:rsid w:val="6BB077F2"/>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4F15495"/>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AE1EE3"/>
    <w:rsid w:val="78D06FA5"/>
    <w:rsid w:val="78F044C0"/>
    <w:rsid w:val="79162F7B"/>
    <w:rsid w:val="792606AD"/>
    <w:rsid w:val="793D3D59"/>
    <w:rsid w:val="795F47C4"/>
    <w:rsid w:val="795F4B87"/>
    <w:rsid w:val="7964594B"/>
    <w:rsid w:val="799447B2"/>
    <w:rsid w:val="79993DEC"/>
    <w:rsid w:val="79CD1CC3"/>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574AC"/>
    <w:rsid w:val="7C867073"/>
    <w:rsid w:val="7C8D2D58"/>
    <w:rsid w:val="7CA503F5"/>
    <w:rsid w:val="7CB302CB"/>
    <w:rsid w:val="7CCA1F6A"/>
    <w:rsid w:val="7CEB0E7E"/>
    <w:rsid w:val="7D1948FD"/>
    <w:rsid w:val="7D2C6F9F"/>
    <w:rsid w:val="7D543264"/>
    <w:rsid w:val="7D6D7156"/>
    <w:rsid w:val="7D7115AD"/>
    <w:rsid w:val="7DAE4568"/>
    <w:rsid w:val="7DC85A4E"/>
    <w:rsid w:val="7DEE14E5"/>
    <w:rsid w:val="7DF550BA"/>
    <w:rsid w:val="7E531FFF"/>
    <w:rsid w:val="7E5E764B"/>
    <w:rsid w:val="7ECB55B8"/>
    <w:rsid w:val="7EE626A2"/>
    <w:rsid w:val="7EEC63E7"/>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pageBreakBefore/>
      <w:numPr>
        <w:ilvl w:val="0"/>
        <w:numId w:val="1"/>
      </w:numPr>
      <w:spacing w:before="60" w:after="60"/>
      <w:ind w:left="0" w:firstLine="0"/>
      <w:jc w:val="center"/>
      <w:outlineLvl w:val="0"/>
    </w:pPr>
    <w:rPr>
      <w:b/>
      <w:bCs/>
      <w:kern w:val="44"/>
      <w:sz w:val="36"/>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3"/>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annotation text"/>
    <w:basedOn w:val="1"/>
    <w:qFormat/>
    <w:uiPriority w:val="0"/>
    <w:pPr>
      <w:jc w:val="left"/>
    </w:pPr>
  </w:style>
  <w:style w:type="paragraph" w:styleId="8">
    <w:name w:val="Body Text"/>
    <w:basedOn w:val="1"/>
    <w:qFormat/>
    <w:uiPriority w:val="0"/>
    <w:pPr>
      <w:spacing w:line="360" w:lineRule="exact"/>
    </w:pPr>
    <w:rPr>
      <w:sz w:val="24"/>
    </w:rPr>
  </w:style>
  <w:style w:type="paragraph" w:styleId="9">
    <w:name w:val="Body Text Indent"/>
    <w:basedOn w:val="1"/>
    <w:next w:val="1"/>
    <w:link w:val="54"/>
    <w:qFormat/>
    <w:uiPriority w:val="0"/>
    <w:pPr>
      <w:spacing w:after="120"/>
      <w:ind w:left="420" w:leftChars="200"/>
    </w:pPr>
  </w:style>
  <w:style w:type="paragraph" w:styleId="10">
    <w:name w:val="Plain Text"/>
    <w:basedOn w:val="1"/>
    <w:next w:val="11"/>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4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6">
    <w:name w:val="toc 2"/>
    <w:basedOn w:val="1"/>
    <w:next w:val="1"/>
    <w:qFormat/>
    <w:uiPriority w:val="99"/>
    <w:pPr>
      <w:ind w:left="420" w:leftChars="200"/>
    </w:p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qFormat/>
    <w:uiPriority w:val="0"/>
    <w:pPr>
      <w:ind w:firstLine="200" w:firstLineChars="200"/>
    </w:pPr>
  </w:style>
  <w:style w:type="paragraph" w:styleId="19">
    <w:name w:val="Body Text First Indent 2"/>
    <w:basedOn w:val="9"/>
    <w:next w:val="1"/>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3">
    <w:name w:val="Hyperlink"/>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8">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4"/>
    <w:qFormat/>
    <w:uiPriority w:val="0"/>
    <w:rPr>
      <w:rFonts w:ascii="Times New Roman" w:hAnsi="Times New Roman" w:eastAsia="宋体" w:cs="Times New Roman"/>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3"/>
    <w:basedOn w:val="34"/>
    <w:qFormat/>
    <w:uiPriority w:val="0"/>
    <w:pPr>
      <w:widowControl/>
      <w:jc w:val="left"/>
    </w:pPr>
    <w:rPr>
      <w:rFonts w:ascii="宋体" w:hAnsi="Courier New" w:eastAsiaTheme="minorEastAsia" w:cstheme="minorBidi"/>
      <w:szCs w:val="21"/>
    </w:rPr>
  </w:style>
  <w:style w:type="paragraph" w:customStyle="1" w:styleId="36">
    <w:name w:val="纯文本_0_1"/>
    <w:basedOn w:val="1"/>
    <w:qFormat/>
    <w:uiPriority w:val="0"/>
    <w:pPr>
      <w:widowControl/>
      <w:jc w:val="left"/>
    </w:pPr>
    <w:rPr>
      <w:rFonts w:ascii="宋体" w:hAnsi="Courier New" w:eastAsiaTheme="minorEastAsia" w:cstheme="minorBidi"/>
      <w:szCs w:val="21"/>
    </w:rPr>
  </w:style>
  <w:style w:type="paragraph" w:customStyle="1" w:styleId="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font21"/>
    <w:basedOn w:val="22"/>
    <w:qFormat/>
    <w:uiPriority w:val="0"/>
    <w:rPr>
      <w:rFonts w:hint="default" w:ascii="Arial" w:hAnsi="Arial" w:cs="Arial"/>
      <w:color w:val="000000"/>
      <w:sz w:val="20"/>
      <w:szCs w:val="20"/>
      <w:u w:val="none"/>
    </w:rPr>
  </w:style>
  <w:style w:type="character" w:customStyle="1" w:styleId="42">
    <w:name w:val="font01"/>
    <w:basedOn w:val="22"/>
    <w:qFormat/>
    <w:uiPriority w:val="0"/>
    <w:rPr>
      <w:rFonts w:hint="eastAsia" w:ascii="宋体" w:hAnsi="宋体" w:eastAsia="宋体" w:cs="宋体"/>
      <w:color w:val="000000"/>
      <w:sz w:val="20"/>
      <w:szCs w:val="20"/>
      <w:u w:val="none"/>
    </w:rPr>
  </w:style>
  <w:style w:type="paragraph" w:customStyle="1" w:styleId="43">
    <w:name w:val="纯文本1"/>
    <w:basedOn w:val="44"/>
    <w:qFormat/>
    <w:uiPriority w:val="0"/>
    <w:pPr>
      <w:widowControl/>
      <w:jc w:val="left"/>
    </w:pPr>
    <w:rPr>
      <w:rFonts w:ascii="宋体" w:hAnsi="Courier New"/>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5">
    <w:name w:val="Table Paragraph"/>
    <w:basedOn w:val="1"/>
    <w:qFormat/>
    <w:uiPriority w:val="1"/>
    <w:rPr>
      <w:rFonts w:ascii="宋体" w:hAnsi="宋体" w:cs="宋体"/>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批注框文本 Char"/>
    <w:basedOn w:val="22"/>
    <w:link w:val="12"/>
    <w:qFormat/>
    <w:uiPriority w:val="0"/>
    <w:rPr>
      <w:kern w:val="2"/>
      <w:sz w:val="18"/>
      <w:szCs w:val="18"/>
    </w:rPr>
  </w:style>
  <w:style w:type="paragraph" w:customStyle="1" w:styleId="49">
    <w:name w:val="英文"/>
    <w:basedOn w:val="1"/>
    <w:link w:val="51"/>
    <w:qFormat/>
    <w:uiPriority w:val="0"/>
    <w:pPr>
      <w:adjustRightInd w:val="0"/>
      <w:snapToGrid w:val="0"/>
      <w:spacing w:line="360" w:lineRule="auto"/>
      <w:ind w:firstLine="480" w:firstLineChars="200"/>
    </w:pPr>
    <w:rPr>
      <w:rFonts w:ascii="Arial" w:hAnsi="Arial" w:cs="Arial"/>
      <w:sz w:val="24"/>
    </w:rPr>
  </w:style>
  <w:style w:type="paragraph" w:customStyle="1" w:styleId="50">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1">
    <w:name w:val="英文 Char"/>
    <w:link w:val="49"/>
    <w:qFormat/>
    <w:uiPriority w:val="0"/>
    <w:rPr>
      <w:rFonts w:ascii="Arial" w:hAnsi="Arial" w:cs="Arial"/>
      <w:sz w:val="24"/>
    </w:rPr>
  </w:style>
  <w:style w:type="paragraph" w:customStyle="1" w:styleId="52">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53">
    <w:name w:val="正文缩进 Char"/>
    <w:link w:val="2"/>
    <w:qFormat/>
    <w:uiPriority w:val="0"/>
    <w:rPr>
      <w:kern w:val="2"/>
      <w:sz w:val="21"/>
    </w:rPr>
  </w:style>
  <w:style w:type="character" w:customStyle="1" w:styleId="54">
    <w:name w:val="正文文本缩进 Char"/>
    <w:basedOn w:val="22"/>
    <w:link w:val="9"/>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34829</Words>
  <Characters>35798</Characters>
  <Lines>287</Lines>
  <Paragraphs>80</Paragraphs>
  <TotalTime>19</TotalTime>
  <ScaleCrop>false</ScaleCrop>
  <LinksUpToDate>false</LinksUpToDate>
  <CharactersWithSpaces>37141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Administrator</cp:lastModifiedBy>
  <cp:lastPrinted>2022-04-07T11:26:00Z</cp:lastPrinted>
  <dcterms:modified xsi:type="dcterms:W3CDTF">2022-04-12T00:35:50Z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EA4A0E49513944B4AD60CAF286B291CA</vt:lpwstr>
  </property>
</Properties>
</file>