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color w:val="auto"/>
          <w:sz w:val="20"/>
          <w:highlight w:val="none"/>
        </w:rPr>
      </w:pPr>
    </w:p>
    <w:p>
      <w:pPr>
        <w:autoSpaceDE w:val="0"/>
        <w:autoSpaceDN w:val="0"/>
        <w:adjustRightInd w:val="0"/>
        <w:jc w:val="center"/>
        <w:rPr>
          <w:rFonts w:hint="eastAsia" w:ascii="宋体" w:cs="宋体"/>
          <w:b/>
          <w:bCs/>
          <w:color w:val="auto"/>
          <w:kern w:val="0"/>
          <w:sz w:val="52"/>
          <w:szCs w:val="52"/>
          <w:highlight w:val="none"/>
        </w:rPr>
      </w:pPr>
    </w:p>
    <w:p>
      <w:pPr>
        <w:autoSpaceDE w:val="0"/>
        <w:autoSpaceDN w:val="0"/>
        <w:adjustRightInd w:val="0"/>
        <w:jc w:val="center"/>
        <w:rPr>
          <w:rFonts w:hint="eastAsia" w:ascii="宋体" w:eastAsia="宋体"/>
          <w:color w:val="auto"/>
          <w:highlight w:val="none"/>
          <w:lang w:eastAsia="zh-CN"/>
        </w:rPr>
      </w:pPr>
      <w:r>
        <w:rPr>
          <w:rFonts w:hint="eastAsia" w:ascii="宋体" w:cs="宋体"/>
          <w:b/>
          <w:bCs/>
          <w:color w:val="auto"/>
          <w:kern w:val="0"/>
          <w:sz w:val="52"/>
          <w:szCs w:val="52"/>
          <w:highlight w:val="none"/>
          <w:lang w:eastAsia="zh-CN"/>
        </w:rPr>
        <w:t>第二分公司加药系统升级建设配套设施项目</w:t>
      </w:r>
    </w:p>
    <w:p>
      <w:pPr>
        <w:pStyle w:val="2"/>
        <w:jc w:val="center"/>
        <w:rPr>
          <w:color w:val="auto"/>
          <w:highlight w:val="none"/>
        </w:rPr>
      </w:pPr>
    </w:p>
    <w:p>
      <w:pPr>
        <w:pStyle w:val="2"/>
        <w:jc w:val="center"/>
        <w:rPr>
          <w:color w:val="auto"/>
          <w:highlight w:val="none"/>
        </w:rPr>
      </w:pPr>
    </w:p>
    <w:p>
      <w:pPr>
        <w:pStyle w:val="2"/>
        <w:jc w:val="center"/>
        <w:rPr>
          <w:rFonts w:hint="eastAsia"/>
          <w:b/>
          <w:bCs/>
          <w:color w:val="auto"/>
          <w:sz w:val="96"/>
          <w:highlight w:val="none"/>
        </w:rPr>
      </w:pPr>
    </w:p>
    <w:p>
      <w:pPr>
        <w:pStyle w:val="2"/>
        <w:jc w:val="center"/>
        <w:rPr>
          <w:rFonts w:hint="eastAsia"/>
          <w:b/>
          <w:bCs/>
          <w:color w:val="auto"/>
          <w:sz w:val="96"/>
          <w:highlight w:val="none"/>
        </w:rPr>
      </w:pPr>
    </w:p>
    <w:p>
      <w:pPr>
        <w:pStyle w:val="3"/>
        <w:ind w:firstLine="964"/>
        <w:jc w:val="center"/>
        <w:rPr>
          <w:rFonts w:ascii="宋体" w:hAnsi="宋体"/>
          <w:b/>
          <w:bCs/>
          <w:color w:val="auto"/>
          <w:sz w:val="96"/>
          <w:highlight w:val="none"/>
        </w:rPr>
      </w:pPr>
      <w:r>
        <w:rPr>
          <w:rFonts w:hint="eastAsia"/>
          <w:b/>
          <w:bCs/>
          <w:color w:val="auto"/>
          <w:sz w:val="96"/>
          <w:highlight w:val="none"/>
        </w:rPr>
        <w:t>招 标 文 件</w:t>
      </w:r>
    </w:p>
    <w:p>
      <w:pPr>
        <w:pStyle w:val="3"/>
        <w:ind w:firstLine="964"/>
        <w:rPr>
          <w:rFonts w:ascii="宋体" w:hAnsi="宋体"/>
          <w:b/>
          <w:bCs/>
          <w:color w:val="auto"/>
          <w:sz w:val="96"/>
          <w:highlight w:val="none"/>
        </w:rPr>
      </w:pPr>
    </w:p>
    <w:p>
      <w:pPr>
        <w:pStyle w:val="2"/>
        <w:jc w:val="center"/>
        <w:rPr>
          <w:rFonts w:hint="eastAsia" w:eastAsia="宋体"/>
          <w:b/>
          <w:color w:val="auto"/>
          <w:sz w:val="32"/>
          <w:highlight w:val="none"/>
          <w:lang w:eastAsia="zh-CN"/>
        </w:rPr>
      </w:pPr>
      <w:r>
        <w:rPr>
          <w:rFonts w:hint="eastAsia"/>
          <w:color w:val="auto"/>
          <w:highlight w:val="none"/>
        </w:rPr>
        <w:t>项目编号：</w:t>
      </w:r>
      <w:r>
        <w:rPr>
          <w:rFonts w:hint="eastAsia"/>
          <w:color w:val="auto"/>
          <w:highlight w:val="none"/>
          <w:lang w:val="en-US" w:eastAsia="zh-CN"/>
        </w:rPr>
        <w:t>华厦招备【2021】026号</w:t>
      </w:r>
    </w:p>
    <w:p>
      <w:pPr>
        <w:pStyle w:val="2"/>
        <w:rPr>
          <w:b/>
          <w:color w:val="auto"/>
          <w:sz w:val="32"/>
          <w:highlight w:val="none"/>
        </w:rPr>
      </w:pPr>
    </w:p>
    <w:p>
      <w:pPr>
        <w:pStyle w:val="2"/>
        <w:rPr>
          <w:b/>
          <w:color w:val="auto"/>
          <w:sz w:val="32"/>
          <w:highlight w:val="none"/>
        </w:rPr>
      </w:pPr>
    </w:p>
    <w:p>
      <w:pPr>
        <w:pStyle w:val="2"/>
        <w:rPr>
          <w:b/>
          <w:color w:val="auto"/>
          <w:sz w:val="32"/>
          <w:highlight w:val="none"/>
        </w:rPr>
      </w:pPr>
    </w:p>
    <w:p>
      <w:pPr>
        <w:pStyle w:val="2"/>
        <w:rPr>
          <w:b/>
          <w:color w:val="auto"/>
          <w:sz w:val="32"/>
          <w:highlight w:val="none"/>
        </w:rPr>
      </w:pPr>
    </w:p>
    <w:p>
      <w:pPr>
        <w:pStyle w:val="3"/>
        <w:rPr>
          <w:b/>
          <w:color w:val="auto"/>
          <w:sz w:val="32"/>
          <w:highlight w:val="none"/>
        </w:rPr>
      </w:pPr>
    </w:p>
    <w:p>
      <w:pPr>
        <w:pStyle w:val="2"/>
        <w:rPr>
          <w:b/>
          <w:color w:val="auto"/>
          <w:sz w:val="32"/>
          <w:highlight w:val="none"/>
        </w:rPr>
      </w:pPr>
    </w:p>
    <w:p>
      <w:pPr>
        <w:pStyle w:val="2"/>
        <w:rPr>
          <w:b/>
          <w:color w:val="auto"/>
          <w:sz w:val="32"/>
          <w:highlight w:val="none"/>
        </w:rPr>
      </w:pPr>
    </w:p>
    <w:p>
      <w:pPr>
        <w:pStyle w:val="2"/>
        <w:rPr>
          <w:b/>
          <w:color w:val="auto"/>
          <w:sz w:val="32"/>
          <w:highlight w:val="none"/>
        </w:rPr>
      </w:pPr>
    </w:p>
    <w:tbl>
      <w:tblPr>
        <w:tblStyle w:val="24"/>
        <w:tblW w:w="0" w:type="auto"/>
        <w:jc w:val="center"/>
        <w:tblLayout w:type="fixed"/>
        <w:tblCellMar>
          <w:top w:w="0" w:type="dxa"/>
          <w:left w:w="108" w:type="dxa"/>
          <w:bottom w:w="0" w:type="dxa"/>
          <w:right w:w="108" w:type="dxa"/>
        </w:tblCellMar>
      </w:tblPr>
      <w:tblGrid>
        <w:gridCol w:w="2218"/>
        <w:gridCol w:w="330"/>
        <w:gridCol w:w="5595"/>
      </w:tblGrid>
      <w:tr>
        <w:tblPrEx>
          <w:tblCellMar>
            <w:top w:w="0" w:type="dxa"/>
            <w:left w:w="108" w:type="dxa"/>
            <w:bottom w:w="0" w:type="dxa"/>
            <w:right w:w="108" w:type="dxa"/>
          </w:tblCellMar>
        </w:tblPrEx>
        <w:trPr>
          <w:trHeight w:val="888" w:hRule="atLeast"/>
          <w:jc w:val="center"/>
        </w:trPr>
        <w:tc>
          <w:tcPr>
            <w:tcW w:w="2218" w:type="dxa"/>
            <w:vAlign w:val="center"/>
          </w:tcPr>
          <w:p>
            <w:pPr>
              <w:adjustRightInd w:val="0"/>
              <w:snapToGrid w:val="0"/>
              <w:spacing w:line="440" w:lineRule="exact"/>
              <w:jc w:val="distribute"/>
              <w:rPr>
                <w:color w:val="auto"/>
                <w:sz w:val="28"/>
                <w:szCs w:val="28"/>
                <w:highlight w:val="none"/>
              </w:rPr>
            </w:pPr>
            <w:r>
              <w:rPr>
                <w:rFonts w:hint="eastAsia"/>
                <w:color w:val="auto"/>
                <w:sz w:val="28"/>
                <w:szCs w:val="28"/>
                <w:highlight w:val="none"/>
              </w:rPr>
              <w:t>采购</w:t>
            </w:r>
            <w:r>
              <w:rPr>
                <w:color w:val="auto"/>
                <w:sz w:val="28"/>
                <w:szCs w:val="28"/>
                <w:highlight w:val="none"/>
              </w:rPr>
              <w:t>人</w:t>
            </w:r>
          </w:p>
        </w:tc>
        <w:tc>
          <w:tcPr>
            <w:tcW w:w="330" w:type="dxa"/>
            <w:vAlign w:val="center"/>
          </w:tcPr>
          <w:p>
            <w:pPr>
              <w:adjustRightInd w:val="0"/>
              <w:snapToGrid w:val="0"/>
              <w:spacing w:line="440" w:lineRule="exact"/>
              <w:jc w:val="distribute"/>
              <w:rPr>
                <w:color w:val="auto"/>
                <w:sz w:val="28"/>
                <w:szCs w:val="28"/>
                <w:highlight w:val="none"/>
              </w:rPr>
            </w:pPr>
            <w:r>
              <w:rPr>
                <w:color w:val="auto"/>
                <w:sz w:val="28"/>
                <w:szCs w:val="28"/>
                <w:highlight w:val="none"/>
              </w:rPr>
              <w:t>：</w:t>
            </w:r>
          </w:p>
        </w:tc>
        <w:tc>
          <w:tcPr>
            <w:tcW w:w="5595" w:type="dxa"/>
            <w:vAlign w:val="center"/>
          </w:tcPr>
          <w:p>
            <w:pPr>
              <w:adjustRightInd w:val="0"/>
              <w:snapToGrid w:val="0"/>
              <w:spacing w:line="440" w:lineRule="exact"/>
              <w:jc w:val="distribute"/>
              <w:rPr>
                <w:rFonts w:hint="eastAsia" w:eastAsia="宋体"/>
                <w:color w:val="auto"/>
                <w:sz w:val="28"/>
                <w:szCs w:val="28"/>
                <w:highlight w:val="none"/>
                <w:lang w:eastAsia="zh-CN"/>
              </w:rPr>
            </w:pPr>
            <w:r>
              <w:rPr>
                <w:rFonts w:hint="eastAsia"/>
                <w:color w:val="auto"/>
                <w:sz w:val="28"/>
                <w:szCs w:val="28"/>
                <w:highlight w:val="none"/>
                <w:lang w:eastAsia="zh-CN"/>
              </w:rPr>
              <w:t>三门县环境有限公司</w:t>
            </w:r>
          </w:p>
        </w:tc>
      </w:tr>
      <w:tr>
        <w:tblPrEx>
          <w:tblCellMar>
            <w:top w:w="0" w:type="dxa"/>
            <w:left w:w="108" w:type="dxa"/>
            <w:bottom w:w="0" w:type="dxa"/>
            <w:right w:w="108" w:type="dxa"/>
          </w:tblCellMar>
        </w:tblPrEx>
        <w:trPr>
          <w:trHeight w:val="888" w:hRule="atLeast"/>
          <w:jc w:val="center"/>
        </w:trPr>
        <w:tc>
          <w:tcPr>
            <w:tcW w:w="2218" w:type="dxa"/>
            <w:vAlign w:val="center"/>
          </w:tcPr>
          <w:p>
            <w:pPr>
              <w:adjustRightInd w:val="0"/>
              <w:snapToGrid w:val="0"/>
              <w:spacing w:line="440" w:lineRule="exact"/>
              <w:jc w:val="distribute"/>
              <w:rPr>
                <w:color w:val="auto"/>
                <w:sz w:val="28"/>
                <w:szCs w:val="28"/>
                <w:highlight w:val="none"/>
              </w:rPr>
            </w:pPr>
            <w:r>
              <w:rPr>
                <w:color w:val="auto"/>
                <w:sz w:val="28"/>
                <w:szCs w:val="28"/>
                <w:highlight w:val="none"/>
              </w:rPr>
              <w:t>招标代理人</w:t>
            </w:r>
          </w:p>
        </w:tc>
        <w:tc>
          <w:tcPr>
            <w:tcW w:w="330" w:type="dxa"/>
            <w:vAlign w:val="center"/>
          </w:tcPr>
          <w:p>
            <w:pPr>
              <w:adjustRightInd w:val="0"/>
              <w:snapToGrid w:val="0"/>
              <w:spacing w:line="440" w:lineRule="exact"/>
              <w:jc w:val="distribute"/>
              <w:rPr>
                <w:color w:val="auto"/>
                <w:sz w:val="28"/>
                <w:szCs w:val="28"/>
                <w:highlight w:val="none"/>
              </w:rPr>
            </w:pPr>
            <w:r>
              <w:rPr>
                <w:color w:val="auto"/>
                <w:sz w:val="28"/>
                <w:szCs w:val="28"/>
                <w:highlight w:val="none"/>
              </w:rPr>
              <w:t>：</w:t>
            </w:r>
          </w:p>
        </w:tc>
        <w:tc>
          <w:tcPr>
            <w:tcW w:w="5595" w:type="dxa"/>
            <w:vAlign w:val="center"/>
          </w:tcPr>
          <w:p>
            <w:pPr>
              <w:adjustRightInd w:val="0"/>
              <w:snapToGrid w:val="0"/>
              <w:spacing w:line="440" w:lineRule="exact"/>
              <w:jc w:val="distribute"/>
              <w:rPr>
                <w:color w:val="auto"/>
                <w:sz w:val="28"/>
                <w:szCs w:val="28"/>
                <w:highlight w:val="none"/>
              </w:rPr>
            </w:pPr>
            <w:r>
              <w:rPr>
                <w:rFonts w:hint="eastAsia"/>
                <w:color w:val="auto"/>
                <w:sz w:val="28"/>
                <w:szCs w:val="28"/>
                <w:highlight w:val="none"/>
              </w:rPr>
              <w:t>三门华厦建设工程造价事务所（普通合伙）</w:t>
            </w:r>
          </w:p>
        </w:tc>
      </w:tr>
    </w:tbl>
    <w:p>
      <w:pPr>
        <w:pStyle w:val="2"/>
        <w:rPr>
          <w:b/>
          <w:color w:val="auto"/>
          <w:sz w:val="32"/>
          <w:highlight w:val="none"/>
        </w:rPr>
      </w:pPr>
    </w:p>
    <w:p>
      <w:pPr>
        <w:pStyle w:val="2"/>
        <w:rPr>
          <w:b/>
          <w:color w:val="auto"/>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olor w:val="auto"/>
          <w:kern w:val="0"/>
          <w:sz w:val="30"/>
          <w:szCs w:val="30"/>
          <w:highlight w:val="none"/>
        </w:rPr>
      </w:pPr>
      <w:r>
        <w:rPr>
          <w:rFonts w:hint="eastAsia" w:ascii="宋体" w:hAnsi="宋体" w:cs="宋体"/>
          <w:color w:val="auto"/>
          <w:spacing w:val="16"/>
          <w:sz w:val="30"/>
          <w:szCs w:val="30"/>
          <w:highlight w:val="none"/>
        </w:rPr>
        <w:t>二〇二一年</w:t>
      </w:r>
      <w:r>
        <w:rPr>
          <w:rFonts w:hint="eastAsia" w:ascii="宋体" w:hAnsi="宋体" w:cs="宋体"/>
          <w:color w:val="auto"/>
          <w:spacing w:val="16"/>
          <w:sz w:val="30"/>
          <w:szCs w:val="30"/>
          <w:highlight w:val="none"/>
          <w:lang w:eastAsia="zh-CN"/>
        </w:rPr>
        <w:t>七</w:t>
      </w:r>
      <w:r>
        <w:rPr>
          <w:rFonts w:hint="eastAsia" w:ascii="宋体" w:hAnsi="宋体" w:cs="宋体"/>
          <w:color w:val="auto"/>
          <w:spacing w:val="16"/>
          <w:sz w:val="30"/>
          <w:szCs w:val="30"/>
          <w:highlight w:val="none"/>
        </w:rPr>
        <w:t>月</w:t>
      </w:r>
    </w:p>
    <w:p>
      <w:pPr>
        <w:autoSpaceDE w:val="0"/>
        <w:autoSpaceDN w:val="0"/>
        <w:adjustRightInd w:val="0"/>
        <w:jc w:val="center"/>
        <w:rPr>
          <w:rFonts w:ascii="宋体"/>
          <w:b/>
          <w:bCs/>
          <w:color w:val="auto"/>
          <w:kern w:val="0"/>
          <w:sz w:val="52"/>
          <w:szCs w:val="52"/>
          <w:highlight w:val="none"/>
        </w:rPr>
        <w:sectPr>
          <w:pgSz w:w="11906" w:h="16838"/>
          <w:pgMar w:top="763" w:right="999" w:bottom="1383" w:left="827" w:header="851" w:footer="992" w:gutter="0"/>
          <w:cols w:space="0" w:num="1"/>
          <w:docGrid w:type="lines" w:linePitch="312" w:charSpace="0"/>
        </w:sectPr>
      </w:pPr>
    </w:p>
    <w:p>
      <w:pPr>
        <w:pStyle w:val="2"/>
        <w:rPr>
          <w:color w:val="auto"/>
          <w:highlight w:val="none"/>
        </w:rPr>
      </w:pPr>
    </w:p>
    <w:p>
      <w:pPr>
        <w:autoSpaceDE w:val="0"/>
        <w:autoSpaceDN w:val="0"/>
        <w:adjustRightInd w:val="0"/>
        <w:jc w:val="center"/>
        <w:rPr>
          <w:rFonts w:hint="eastAsia" w:ascii="宋体" w:eastAsia="宋体"/>
          <w:color w:val="auto"/>
          <w:highlight w:val="none"/>
          <w:lang w:eastAsia="zh-CN"/>
        </w:rPr>
      </w:pPr>
      <w:r>
        <w:rPr>
          <w:rFonts w:hint="eastAsia" w:ascii="宋体" w:cs="宋体"/>
          <w:b/>
          <w:bCs/>
          <w:color w:val="auto"/>
          <w:kern w:val="0"/>
          <w:sz w:val="52"/>
          <w:szCs w:val="52"/>
          <w:highlight w:val="none"/>
          <w:lang w:eastAsia="zh-CN"/>
        </w:rPr>
        <w:t>第二分公司加药系统升级建设配套设施项目</w:t>
      </w:r>
    </w:p>
    <w:p>
      <w:pPr>
        <w:autoSpaceDE w:val="0"/>
        <w:autoSpaceDN w:val="0"/>
        <w:adjustRightInd w:val="0"/>
        <w:rPr>
          <w:rFonts w:ascii="宋体"/>
          <w:color w:val="auto"/>
          <w:highlight w:val="none"/>
        </w:rPr>
      </w:pPr>
    </w:p>
    <w:p>
      <w:pPr>
        <w:autoSpaceDE w:val="0"/>
        <w:autoSpaceDN w:val="0"/>
        <w:adjustRightInd w:val="0"/>
        <w:jc w:val="center"/>
        <w:rPr>
          <w:rFonts w:ascii="宋体"/>
          <w:b/>
          <w:bCs/>
          <w:color w:val="auto"/>
          <w:kern w:val="0"/>
          <w:sz w:val="52"/>
          <w:szCs w:val="52"/>
          <w:highlight w:val="none"/>
        </w:rPr>
      </w:pPr>
      <w:r>
        <w:rPr>
          <w:rFonts w:hint="eastAsia" w:ascii="宋体" w:cs="宋体"/>
          <w:b/>
          <w:bCs/>
          <w:color w:val="auto"/>
          <w:kern w:val="0"/>
          <w:sz w:val="52"/>
          <w:szCs w:val="52"/>
          <w:highlight w:val="none"/>
        </w:rPr>
        <w:t>公开招标文件</w:t>
      </w:r>
    </w:p>
    <w:p>
      <w:pPr>
        <w:adjustRightInd w:val="0"/>
        <w:snapToGrid w:val="0"/>
        <w:rPr>
          <w:rFonts w:ascii="华文行楷" w:hAnsi="宋体" w:eastAsia="华文行楷"/>
          <w:b/>
          <w:bCs/>
          <w:color w:val="auto"/>
          <w:spacing w:val="36"/>
          <w:sz w:val="24"/>
          <w:szCs w:val="24"/>
          <w:highlight w:val="none"/>
        </w:rPr>
      </w:pPr>
    </w:p>
    <w:p>
      <w:pPr>
        <w:adjustRightInd w:val="0"/>
        <w:snapToGrid w:val="0"/>
        <w:spacing w:line="480" w:lineRule="auto"/>
        <w:jc w:val="center"/>
        <w:rPr>
          <w:rFonts w:ascii="宋体"/>
          <w:b/>
          <w:bCs/>
          <w:color w:val="auto"/>
          <w:sz w:val="32"/>
          <w:szCs w:val="32"/>
          <w:highlight w:val="none"/>
        </w:rPr>
      </w:pPr>
      <w:r>
        <w:rPr>
          <w:rFonts w:hint="eastAsia" w:ascii="宋体" w:hAnsi="宋体" w:cs="宋体"/>
          <w:b/>
          <w:bCs/>
          <w:color w:val="auto"/>
          <w:sz w:val="32"/>
          <w:szCs w:val="32"/>
          <w:highlight w:val="none"/>
        </w:rPr>
        <w:t>备案登记号：</w:t>
      </w:r>
      <w:r>
        <w:rPr>
          <w:rFonts w:hint="eastAsia" w:ascii="宋体" w:hAnsi="宋体" w:cs="宋体"/>
          <w:b/>
          <w:bCs/>
          <w:color w:val="auto"/>
          <w:sz w:val="32"/>
          <w:szCs w:val="32"/>
          <w:highlight w:val="none"/>
          <w:lang w:eastAsia="zh-CN"/>
        </w:rPr>
        <w:t>华厦招备</w:t>
      </w:r>
      <w:r>
        <w:rPr>
          <w:rFonts w:hint="eastAsia" w:ascii="宋体" w:hAnsi="宋体" w:cs="宋体"/>
          <w:b/>
          <w:bCs/>
          <w:color w:val="auto"/>
          <w:sz w:val="32"/>
          <w:szCs w:val="32"/>
          <w:highlight w:val="none"/>
        </w:rPr>
        <w:t>【</w:t>
      </w:r>
      <w:r>
        <w:rPr>
          <w:rFonts w:ascii="宋体" w:hAnsi="宋体" w:cs="宋体"/>
          <w:b/>
          <w:bCs/>
          <w:color w:val="auto"/>
          <w:sz w:val="32"/>
          <w:szCs w:val="32"/>
          <w:highlight w:val="none"/>
        </w:rPr>
        <w:t>2021</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026</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号</w:t>
      </w:r>
    </w:p>
    <w:p>
      <w:pPr>
        <w:tabs>
          <w:tab w:val="left" w:pos="1440"/>
        </w:tabs>
        <w:spacing w:line="216" w:lineRule="auto"/>
        <w:rPr>
          <w:rFonts w:ascii="宋体"/>
          <w:b/>
          <w:bCs/>
          <w:color w:val="auto"/>
          <w:sz w:val="30"/>
          <w:szCs w:val="30"/>
          <w:highlight w:val="none"/>
        </w:rPr>
      </w:pPr>
    </w:p>
    <w:p>
      <w:pPr>
        <w:spacing w:line="640" w:lineRule="exact"/>
        <w:ind w:firstLine="219" w:firstLineChars="73"/>
        <w:rPr>
          <w:rFonts w:ascii="宋体"/>
          <w:color w:val="auto"/>
          <w:spacing w:val="50"/>
          <w:sz w:val="32"/>
          <w:szCs w:val="32"/>
          <w:highlight w:val="none"/>
        </w:rPr>
      </w:pPr>
      <w:r>
        <w:rPr>
          <w:rFonts w:hint="eastAsia" w:cs="宋体"/>
          <w:color w:val="auto"/>
          <w:sz w:val="30"/>
          <w:szCs w:val="30"/>
          <w:highlight w:val="none"/>
        </w:rPr>
        <w:t>采</w:t>
      </w:r>
      <w:r>
        <w:rPr>
          <w:color w:val="auto"/>
          <w:sz w:val="30"/>
          <w:szCs w:val="30"/>
          <w:highlight w:val="none"/>
        </w:rPr>
        <w:t xml:space="preserve"> </w:t>
      </w:r>
      <w:r>
        <w:rPr>
          <w:rFonts w:hint="eastAsia" w:cs="宋体"/>
          <w:color w:val="auto"/>
          <w:sz w:val="30"/>
          <w:szCs w:val="30"/>
          <w:highlight w:val="none"/>
        </w:rPr>
        <w:t>购</w:t>
      </w:r>
      <w:r>
        <w:rPr>
          <w:color w:val="auto"/>
          <w:sz w:val="30"/>
          <w:szCs w:val="30"/>
          <w:highlight w:val="none"/>
        </w:rPr>
        <w:t xml:space="preserve"> </w:t>
      </w:r>
      <w:r>
        <w:rPr>
          <w:rFonts w:hint="eastAsia" w:cs="宋体"/>
          <w:color w:val="auto"/>
          <w:sz w:val="30"/>
          <w:szCs w:val="30"/>
          <w:highlight w:val="none"/>
        </w:rPr>
        <w:t>人：</w:t>
      </w:r>
      <w:r>
        <w:rPr>
          <w:rFonts w:hint="eastAsia" w:cs="宋体"/>
          <w:color w:val="auto"/>
          <w:sz w:val="30"/>
          <w:szCs w:val="30"/>
          <w:highlight w:val="none"/>
          <w:lang w:eastAsia="zh-CN"/>
        </w:rPr>
        <w:t>三门县环境有限公司</w:t>
      </w:r>
      <w:r>
        <w:rPr>
          <w:rFonts w:hint="eastAsia" w:cs="宋体"/>
          <w:color w:val="auto"/>
          <w:sz w:val="30"/>
          <w:szCs w:val="30"/>
          <w:highlight w:val="none"/>
        </w:rPr>
        <w:t>（盖章）</w:t>
      </w:r>
    </w:p>
    <w:p>
      <w:pPr>
        <w:spacing w:line="640" w:lineRule="exact"/>
        <w:ind w:firstLine="219" w:firstLineChars="73"/>
        <w:rPr>
          <w:color w:val="auto"/>
          <w:sz w:val="30"/>
          <w:szCs w:val="30"/>
          <w:highlight w:val="none"/>
        </w:rPr>
      </w:pPr>
      <w:r>
        <w:rPr>
          <w:rFonts w:hint="eastAsia" w:cs="宋体"/>
          <w:color w:val="auto"/>
          <w:sz w:val="30"/>
          <w:szCs w:val="30"/>
          <w:highlight w:val="none"/>
        </w:rPr>
        <w:t>联系人：</w:t>
      </w:r>
      <w:r>
        <w:rPr>
          <w:rFonts w:hint="eastAsia" w:cs="宋体"/>
          <w:color w:val="auto"/>
          <w:sz w:val="30"/>
          <w:szCs w:val="30"/>
          <w:highlight w:val="none"/>
          <w:lang w:eastAsia="zh-CN"/>
        </w:rPr>
        <w:t>李先生</w:t>
      </w:r>
      <w:r>
        <w:rPr>
          <w:color w:val="auto"/>
          <w:sz w:val="30"/>
          <w:szCs w:val="30"/>
          <w:highlight w:val="none"/>
        </w:rPr>
        <w:t xml:space="preserve">  </w:t>
      </w:r>
    </w:p>
    <w:p>
      <w:pPr>
        <w:spacing w:line="640" w:lineRule="exact"/>
        <w:ind w:firstLine="219" w:firstLineChars="73"/>
        <w:rPr>
          <w:color w:val="auto"/>
          <w:sz w:val="30"/>
          <w:szCs w:val="30"/>
          <w:highlight w:val="none"/>
        </w:rPr>
      </w:pPr>
      <w:r>
        <w:rPr>
          <w:rFonts w:hint="eastAsia" w:cs="宋体"/>
          <w:color w:val="auto"/>
          <w:sz w:val="30"/>
          <w:szCs w:val="30"/>
          <w:highlight w:val="none"/>
        </w:rPr>
        <w:t>联系电话：</w:t>
      </w:r>
      <w:r>
        <w:rPr>
          <w:rFonts w:hint="eastAsia" w:ascii="Times New Roman" w:hAnsi="Times New Roman" w:eastAsia="宋体" w:cs="Times New Roman"/>
          <w:color w:val="auto"/>
          <w:sz w:val="28"/>
          <w:szCs w:val="28"/>
          <w:lang w:val="en-US" w:eastAsia="zh-CN"/>
        </w:rPr>
        <w:t>625016</w:t>
      </w:r>
    </w:p>
    <w:p>
      <w:pPr>
        <w:spacing w:line="640" w:lineRule="exact"/>
        <w:ind w:firstLine="233" w:firstLineChars="73"/>
        <w:jc w:val="left"/>
        <w:rPr>
          <w:color w:val="auto"/>
          <w:sz w:val="32"/>
          <w:szCs w:val="32"/>
          <w:highlight w:val="none"/>
        </w:rPr>
      </w:pPr>
    </w:p>
    <w:p>
      <w:pPr>
        <w:spacing w:line="640" w:lineRule="exact"/>
        <w:ind w:firstLine="233" w:firstLineChars="73"/>
        <w:jc w:val="center"/>
        <w:rPr>
          <w:color w:val="auto"/>
          <w:sz w:val="30"/>
          <w:szCs w:val="30"/>
          <w:highlight w:val="none"/>
        </w:rPr>
      </w:pPr>
      <w:r>
        <w:rPr>
          <w:rFonts w:hint="eastAsia" w:cs="宋体"/>
          <w:color w:val="auto"/>
          <w:sz w:val="32"/>
          <w:szCs w:val="32"/>
          <w:highlight w:val="none"/>
        </w:rPr>
        <w:t>招标代理机构：</w:t>
      </w:r>
      <w:r>
        <w:rPr>
          <w:rFonts w:hint="eastAsia" w:cs="宋体"/>
          <w:color w:val="auto"/>
          <w:sz w:val="30"/>
          <w:szCs w:val="30"/>
          <w:highlight w:val="none"/>
        </w:rPr>
        <w:t>三门华厦建设工程造价事务所（普通合伙）（盖章）</w:t>
      </w:r>
    </w:p>
    <w:p>
      <w:pPr>
        <w:spacing w:line="640" w:lineRule="exact"/>
        <w:ind w:firstLine="219" w:firstLineChars="73"/>
        <w:jc w:val="left"/>
        <w:rPr>
          <w:color w:val="auto"/>
          <w:sz w:val="30"/>
          <w:szCs w:val="30"/>
          <w:highlight w:val="none"/>
        </w:rPr>
      </w:pPr>
      <w:r>
        <w:rPr>
          <w:rFonts w:hint="eastAsia" w:cs="宋体"/>
          <w:color w:val="auto"/>
          <w:sz w:val="30"/>
          <w:szCs w:val="30"/>
          <w:highlight w:val="none"/>
        </w:rPr>
        <w:t>联系人：方远</w:t>
      </w:r>
    </w:p>
    <w:p>
      <w:pPr>
        <w:spacing w:line="640" w:lineRule="exact"/>
        <w:ind w:firstLine="219" w:firstLineChars="73"/>
        <w:jc w:val="left"/>
        <w:rPr>
          <w:color w:val="auto"/>
          <w:sz w:val="30"/>
          <w:szCs w:val="30"/>
          <w:highlight w:val="none"/>
        </w:rPr>
      </w:pPr>
      <w:r>
        <w:rPr>
          <w:rFonts w:hint="eastAsia" w:cs="宋体"/>
          <w:color w:val="auto"/>
          <w:sz w:val="30"/>
          <w:szCs w:val="30"/>
          <w:highlight w:val="none"/>
        </w:rPr>
        <w:t>联系方式：</w:t>
      </w:r>
      <w:r>
        <w:rPr>
          <w:color w:val="auto"/>
          <w:sz w:val="30"/>
          <w:szCs w:val="30"/>
          <w:highlight w:val="none"/>
        </w:rPr>
        <w:t>13634077717</w:t>
      </w:r>
    </w:p>
    <w:p>
      <w:pPr>
        <w:pStyle w:val="6"/>
        <w:rPr>
          <w:color w:val="auto"/>
          <w:highlight w:val="none"/>
        </w:rPr>
      </w:pPr>
    </w:p>
    <w:p>
      <w:pPr>
        <w:spacing w:line="640" w:lineRule="exact"/>
        <w:ind w:firstLine="1280" w:firstLineChars="400"/>
        <w:jc w:val="left"/>
        <w:rPr>
          <w:color w:val="auto"/>
          <w:sz w:val="32"/>
          <w:szCs w:val="32"/>
          <w:highlight w:val="none"/>
        </w:rPr>
      </w:pPr>
    </w:p>
    <w:p>
      <w:pPr>
        <w:pStyle w:val="2"/>
        <w:rPr>
          <w:color w:val="auto"/>
          <w:sz w:val="32"/>
          <w:szCs w:val="32"/>
          <w:highlight w:val="none"/>
        </w:rPr>
      </w:pPr>
    </w:p>
    <w:p>
      <w:pPr>
        <w:pStyle w:val="3"/>
        <w:rPr>
          <w:color w:val="auto"/>
        </w:rPr>
      </w:pPr>
    </w:p>
    <w:p>
      <w:pPr>
        <w:spacing w:line="640" w:lineRule="exact"/>
        <w:jc w:val="center"/>
        <w:rPr>
          <w:color w:val="auto"/>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olor w:val="auto"/>
          <w:kern w:val="0"/>
          <w:sz w:val="30"/>
          <w:szCs w:val="30"/>
          <w:highlight w:val="none"/>
        </w:rPr>
      </w:pPr>
      <w:r>
        <w:rPr>
          <w:rFonts w:hint="eastAsia" w:ascii="宋体" w:hAnsi="宋体" w:cs="宋体"/>
          <w:color w:val="auto"/>
          <w:spacing w:val="16"/>
          <w:sz w:val="30"/>
          <w:szCs w:val="30"/>
          <w:highlight w:val="none"/>
        </w:rPr>
        <w:t>二〇二一年</w:t>
      </w:r>
      <w:r>
        <w:rPr>
          <w:rFonts w:hint="eastAsia" w:ascii="宋体" w:hAnsi="宋体" w:cs="宋体"/>
          <w:color w:val="auto"/>
          <w:spacing w:val="16"/>
          <w:sz w:val="30"/>
          <w:szCs w:val="30"/>
          <w:highlight w:val="none"/>
          <w:lang w:eastAsia="zh-CN"/>
        </w:rPr>
        <w:t>七</w:t>
      </w:r>
      <w:r>
        <w:rPr>
          <w:rFonts w:hint="eastAsia" w:ascii="宋体" w:hAnsi="宋体" w:cs="宋体"/>
          <w:color w:val="auto"/>
          <w:spacing w:val="16"/>
          <w:sz w:val="30"/>
          <w:szCs w:val="30"/>
          <w:highlight w:val="none"/>
        </w:rPr>
        <w:t>月</w:t>
      </w:r>
    </w:p>
    <w:p>
      <w:pPr>
        <w:rPr>
          <w:rFonts w:ascii="宋体"/>
          <w:b/>
          <w:bCs/>
          <w:color w:val="auto"/>
          <w:sz w:val="36"/>
          <w:szCs w:val="36"/>
          <w:highlight w:val="none"/>
        </w:rPr>
      </w:pPr>
    </w:p>
    <w:p>
      <w:pPr>
        <w:jc w:val="center"/>
        <w:rPr>
          <w:rFonts w:hint="eastAsia" w:ascii="宋体" w:hAnsi="宋体" w:cs="宋体"/>
          <w:b/>
          <w:bCs/>
          <w:color w:val="auto"/>
          <w:sz w:val="36"/>
          <w:szCs w:val="36"/>
          <w:highlight w:val="none"/>
        </w:rPr>
      </w:pPr>
    </w:p>
    <w:p>
      <w:pPr>
        <w:jc w:val="center"/>
        <w:rPr>
          <w:rFonts w:hint="eastAsia" w:ascii="宋体" w:hAnsi="宋体" w:cs="宋体"/>
          <w:b/>
          <w:bCs/>
          <w:color w:val="auto"/>
          <w:sz w:val="36"/>
          <w:szCs w:val="36"/>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公开招标采购公告</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投标人须知</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评标办法及评分标准</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公开招标需求</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采购合同主要条款指引</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投标文件格式附件</w:t>
      </w:r>
    </w:p>
    <w:p>
      <w:pPr>
        <w:rPr>
          <w:rFonts w:ascii="宋体"/>
          <w:b/>
          <w:bCs/>
          <w:color w:val="auto"/>
          <w:sz w:val="36"/>
          <w:szCs w:val="36"/>
          <w:highlight w:val="none"/>
        </w:rPr>
        <w:sectPr>
          <w:pgSz w:w="11906" w:h="16838"/>
          <w:pgMar w:top="763" w:right="1247" w:bottom="1383" w:left="1247" w:header="851" w:footer="992" w:gutter="0"/>
          <w:cols w:space="0" w:num="1"/>
          <w:docGrid w:type="lines" w:linePitch="312" w:charSpace="0"/>
        </w:sectPr>
      </w:pPr>
    </w:p>
    <w:p>
      <w:pPr>
        <w:pStyle w:val="2"/>
        <w:rPr>
          <w:color w:val="auto"/>
          <w:highlight w:val="none"/>
        </w:rPr>
      </w:pP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b/>
          <w:bCs/>
          <w:color w:val="auto"/>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rPr>
        <w:t>公开</w:t>
      </w:r>
      <w:r>
        <w:rPr>
          <w:rFonts w:hint="eastAsia" w:ascii="宋体" w:hAnsi="宋体" w:cs="宋体"/>
          <w:b/>
          <w:bCs/>
          <w:color w:val="auto"/>
          <w:sz w:val="36"/>
          <w:szCs w:val="36"/>
          <w:highlight w:val="none"/>
        </w:rPr>
        <w:t>招标采购公告</w:t>
      </w:r>
    </w:p>
    <w:p>
      <w:pPr>
        <w:tabs>
          <w:tab w:val="left" w:pos="0"/>
          <w:tab w:val="left" w:pos="180"/>
          <w:tab w:val="left" w:pos="360"/>
          <w:tab w:val="left" w:pos="8280"/>
        </w:tabs>
        <w:autoSpaceDE w:val="0"/>
        <w:autoSpaceDN w:val="0"/>
        <w:adjustRightInd w:val="0"/>
        <w:spacing w:line="360" w:lineRule="auto"/>
        <w:ind w:right="23" w:firstLine="480" w:firstLineChars="200"/>
        <w:jc w:val="left"/>
        <w:rPr>
          <w:color w:val="auto"/>
          <w:highlight w:val="none"/>
        </w:rPr>
      </w:pPr>
      <w:r>
        <w:rPr>
          <w:rFonts w:hint="eastAsia" w:ascii="宋体" w:hAnsi="宋体" w:cs="宋体"/>
          <w:color w:val="auto"/>
          <w:sz w:val="24"/>
          <w:szCs w:val="24"/>
          <w:highlight w:val="none"/>
        </w:rPr>
        <w:t>根据有关规定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受采购人委托，现就</w:t>
      </w:r>
      <w:r>
        <w:rPr>
          <w:rFonts w:hint="eastAsia" w:ascii="宋体" w:hAnsi="宋体" w:cs="宋体"/>
          <w:color w:val="auto"/>
          <w:sz w:val="24"/>
          <w:szCs w:val="24"/>
          <w:highlight w:val="none"/>
          <w:u w:val="single"/>
          <w:lang w:eastAsia="zh-CN"/>
        </w:rPr>
        <w:t>第二分公司加药系统升级建设配套设施项目</w:t>
      </w:r>
      <w:r>
        <w:rPr>
          <w:rFonts w:hint="eastAsia" w:ascii="宋体" w:hAnsi="宋体" w:cs="宋体"/>
          <w:color w:val="auto"/>
          <w:sz w:val="24"/>
          <w:szCs w:val="24"/>
          <w:highlight w:val="none"/>
        </w:rPr>
        <w:t>进行公开招标采购，欢迎合格供应商前来投标。</w:t>
      </w:r>
      <w:r>
        <w:rPr>
          <w:rFonts w:ascii="宋体" w:hAnsi="宋体" w:cs="宋体"/>
          <w:color w:val="auto"/>
          <w:sz w:val="24"/>
          <w:szCs w:val="24"/>
          <w:highlight w:val="none"/>
        </w:rPr>
        <w:t xml:space="preserve"> </w:t>
      </w:r>
    </w:p>
    <w:p>
      <w:pPr>
        <w:numPr>
          <w:ilvl w:val="0"/>
          <w:numId w:val="7"/>
        </w:numPr>
        <w:tabs>
          <w:tab w:val="left" w:pos="180"/>
          <w:tab w:val="left" w:pos="360"/>
          <w:tab w:val="left" w:pos="540"/>
          <w:tab w:val="left" w:pos="8280"/>
        </w:tabs>
        <w:autoSpaceDE w:val="0"/>
        <w:autoSpaceDN w:val="0"/>
        <w:adjustRightInd w:val="0"/>
        <w:spacing w:line="400" w:lineRule="exact"/>
        <w:ind w:left="0" w:leftChars="0" w:right="23" w:firstLine="420" w:firstLineChars="0"/>
        <w:jc w:val="left"/>
        <w:rPr>
          <w:rFonts w:ascii="宋体"/>
          <w:b/>
          <w:bCs/>
          <w:color w:val="auto"/>
          <w:sz w:val="24"/>
          <w:szCs w:val="24"/>
          <w:highlight w:val="none"/>
        </w:rPr>
      </w:pPr>
      <w:r>
        <w:rPr>
          <w:rFonts w:hint="eastAsia" w:ascii="宋体" w:hAnsi="宋体" w:cs="宋体"/>
          <w:b/>
          <w:bCs/>
          <w:color w:val="auto"/>
          <w:sz w:val="24"/>
          <w:szCs w:val="24"/>
          <w:highlight w:val="none"/>
        </w:rPr>
        <w:t>项目编号：</w:t>
      </w:r>
      <w:r>
        <w:rPr>
          <w:rFonts w:hint="eastAsia" w:ascii="宋体" w:hAnsi="宋体" w:cs="宋体"/>
          <w:b/>
          <w:bCs/>
          <w:color w:val="auto"/>
          <w:sz w:val="24"/>
          <w:szCs w:val="24"/>
          <w:highlight w:val="none"/>
          <w:lang w:eastAsia="zh-CN"/>
        </w:rPr>
        <w:t>华厦招备【2021】0</w:t>
      </w:r>
      <w:r>
        <w:rPr>
          <w:rFonts w:hint="eastAsia" w:ascii="宋体" w:hAnsi="宋体" w:cs="宋体"/>
          <w:b/>
          <w:bCs/>
          <w:color w:val="auto"/>
          <w:sz w:val="24"/>
          <w:szCs w:val="24"/>
          <w:highlight w:val="none"/>
          <w:lang w:val="en-US" w:eastAsia="zh-CN"/>
        </w:rPr>
        <w:t xml:space="preserve">26 </w:t>
      </w:r>
      <w:r>
        <w:rPr>
          <w:rFonts w:hint="eastAsia" w:ascii="宋体" w:hAnsi="宋体" w:cs="宋体"/>
          <w:b/>
          <w:bCs/>
          <w:color w:val="auto"/>
          <w:sz w:val="24"/>
          <w:szCs w:val="24"/>
          <w:highlight w:val="none"/>
          <w:lang w:eastAsia="zh-CN"/>
        </w:rPr>
        <w:t>号</w:t>
      </w:r>
    </w:p>
    <w:p>
      <w:pPr>
        <w:pStyle w:val="6"/>
        <w:numPr>
          <w:ilvl w:val="0"/>
          <w:numId w:val="7"/>
        </w:numPr>
        <w:spacing w:before="0" w:after="0" w:line="400" w:lineRule="exact"/>
        <w:ind w:left="0" w:leftChars="0" w:firstLine="420" w:firstLineChars="0"/>
        <w:rPr>
          <w:color w:val="auto"/>
          <w:highlight w:val="none"/>
        </w:rPr>
      </w:pPr>
      <w:r>
        <w:rPr>
          <w:rFonts w:hint="eastAsia" w:ascii="宋体" w:hAnsi="宋体" w:cs="宋体"/>
          <w:color w:val="auto"/>
          <w:sz w:val="24"/>
          <w:szCs w:val="24"/>
          <w:highlight w:val="none"/>
        </w:rPr>
        <w:t>招标项目概况</w:t>
      </w:r>
    </w:p>
    <w:p>
      <w:pPr>
        <w:rPr>
          <w:color w:val="auto"/>
          <w:highlight w:val="none"/>
        </w:rPr>
      </w:pPr>
    </w:p>
    <w:tbl>
      <w:tblPr>
        <w:tblStyle w:val="2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318"/>
        <w:gridCol w:w="1740"/>
        <w:gridCol w:w="806"/>
        <w:gridCol w:w="776"/>
        <w:gridCol w:w="171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6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标段号</w:t>
            </w:r>
          </w:p>
        </w:tc>
        <w:tc>
          <w:tcPr>
            <w:tcW w:w="234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cs="宋体"/>
                <w:b/>
                <w:bCs/>
                <w:color w:val="auto"/>
                <w:sz w:val="24"/>
                <w:szCs w:val="24"/>
                <w:highlight w:val="none"/>
              </w:rPr>
              <w:t>项目名称</w:t>
            </w:r>
          </w:p>
        </w:tc>
        <w:tc>
          <w:tcPr>
            <w:tcW w:w="1755"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简要技术要求</w:t>
            </w:r>
          </w:p>
        </w:tc>
        <w:tc>
          <w:tcPr>
            <w:tcW w:w="81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78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单位</w:t>
            </w:r>
          </w:p>
        </w:tc>
        <w:tc>
          <w:tcPr>
            <w:tcW w:w="1725" w:type="dxa"/>
            <w:vAlign w:val="center"/>
          </w:tcPr>
          <w:p>
            <w:pPr>
              <w:adjustRightInd w:val="0"/>
              <w:snapToGrid w:val="0"/>
              <w:spacing w:line="360" w:lineRule="auto"/>
              <w:jc w:val="center"/>
              <w:outlineLvl w:val="0"/>
              <w:rPr>
                <w:color w:val="auto"/>
                <w:highlight w:val="none"/>
              </w:rPr>
            </w:pPr>
            <w:r>
              <w:rPr>
                <w:rFonts w:hint="eastAsia" w:ascii="宋体" w:hAnsi="宋体" w:cs="宋体"/>
                <w:b/>
                <w:bCs/>
                <w:color w:val="auto"/>
                <w:sz w:val="24"/>
                <w:szCs w:val="24"/>
                <w:highlight w:val="none"/>
              </w:rPr>
              <w:t>最高限价</w:t>
            </w:r>
            <w:r>
              <w:rPr>
                <w:rFonts w:hint="eastAsia" w:ascii="宋体" w:hAnsi="宋体" w:cs="宋体"/>
                <w:b/>
                <w:bCs/>
                <w:color w:val="auto"/>
                <w:highlight w:val="none"/>
              </w:rPr>
              <w:t>（万元）</w:t>
            </w:r>
          </w:p>
        </w:tc>
        <w:tc>
          <w:tcPr>
            <w:tcW w:w="144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adjustRightInd w:val="0"/>
              <w:snapToGrid w:val="0"/>
              <w:spacing w:line="360" w:lineRule="auto"/>
              <w:jc w:val="center"/>
              <w:outlineLvl w:val="0"/>
              <w:rPr>
                <w:rFonts w:ascii="宋体"/>
                <w:b/>
                <w:bCs/>
                <w:color w:val="auto"/>
                <w:sz w:val="24"/>
                <w:szCs w:val="24"/>
                <w:highlight w:val="none"/>
              </w:rPr>
            </w:pPr>
            <w:r>
              <w:rPr>
                <w:rFonts w:ascii="宋体" w:hAnsi="宋体" w:cs="宋体"/>
                <w:b/>
                <w:bCs/>
                <w:color w:val="auto"/>
                <w:sz w:val="24"/>
                <w:szCs w:val="24"/>
                <w:highlight w:val="none"/>
              </w:rPr>
              <w:t>1</w:t>
            </w:r>
          </w:p>
        </w:tc>
        <w:tc>
          <w:tcPr>
            <w:tcW w:w="2340" w:type="dxa"/>
            <w:vAlign w:val="center"/>
          </w:tcPr>
          <w:p>
            <w:pPr>
              <w:adjustRightInd w:val="0"/>
              <w:snapToGrid w:val="0"/>
              <w:spacing w:line="360" w:lineRule="auto"/>
              <w:jc w:val="center"/>
              <w:outlineLvl w:val="0"/>
              <w:rPr>
                <w:rFonts w:hint="eastAsia" w:ascii="宋体" w:eastAsia="宋体"/>
                <w:b/>
                <w:bCs/>
                <w:color w:val="auto"/>
                <w:sz w:val="24"/>
                <w:szCs w:val="24"/>
                <w:highlight w:val="none"/>
                <w:lang w:eastAsia="zh-CN"/>
              </w:rPr>
            </w:pPr>
            <w:r>
              <w:rPr>
                <w:rFonts w:hint="eastAsia" w:ascii="宋体" w:hAnsi="宋体" w:cs="宋体"/>
                <w:b/>
                <w:bCs/>
                <w:color w:val="auto"/>
                <w:sz w:val="24"/>
                <w:szCs w:val="24"/>
                <w:highlight w:val="none"/>
                <w:lang w:eastAsia="zh-CN"/>
              </w:rPr>
              <w:t>第二分公司加药系统升级建设配套设施项目</w:t>
            </w:r>
          </w:p>
        </w:tc>
        <w:tc>
          <w:tcPr>
            <w:tcW w:w="1755"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详见第四章</w:t>
            </w:r>
          </w:p>
        </w:tc>
        <w:tc>
          <w:tcPr>
            <w:tcW w:w="810" w:type="dxa"/>
            <w:vAlign w:val="center"/>
          </w:tcPr>
          <w:p>
            <w:pPr>
              <w:adjustRightInd w:val="0"/>
              <w:snapToGrid w:val="0"/>
              <w:spacing w:line="360" w:lineRule="auto"/>
              <w:jc w:val="center"/>
              <w:outlineLvl w:val="0"/>
              <w:rPr>
                <w:rFonts w:ascii="宋体"/>
                <w:b/>
                <w:bCs/>
                <w:color w:val="auto"/>
                <w:sz w:val="24"/>
                <w:szCs w:val="24"/>
                <w:highlight w:val="none"/>
              </w:rPr>
            </w:pPr>
            <w:r>
              <w:rPr>
                <w:rFonts w:ascii="宋体" w:hAnsi="宋体" w:cs="宋体"/>
                <w:b/>
                <w:bCs/>
                <w:color w:val="auto"/>
                <w:sz w:val="24"/>
                <w:szCs w:val="24"/>
                <w:highlight w:val="none"/>
              </w:rPr>
              <w:t>1</w:t>
            </w:r>
          </w:p>
        </w:tc>
        <w:tc>
          <w:tcPr>
            <w:tcW w:w="78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项</w:t>
            </w:r>
          </w:p>
        </w:tc>
        <w:tc>
          <w:tcPr>
            <w:tcW w:w="1725" w:type="dxa"/>
            <w:vAlign w:val="center"/>
          </w:tcPr>
          <w:p>
            <w:pPr>
              <w:adjustRightInd w:val="0"/>
              <w:snapToGrid w:val="0"/>
              <w:spacing w:line="360" w:lineRule="auto"/>
              <w:jc w:val="center"/>
              <w:outlineLvl w:val="0"/>
              <w:rPr>
                <w:rFonts w:hint="default" w:ascii="宋体" w:eastAsia="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57万</w:t>
            </w:r>
          </w:p>
        </w:tc>
        <w:tc>
          <w:tcPr>
            <w:tcW w:w="144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详见第四章</w:t>
            </w:r>
          </w:p>
        </w:tc>
      </w:tr>
    </w:tbl>
    <w:p>
      <w:pPr>
        <w:pStyle w:val="6"/>
        <w:numPr>
          <w:ilvl w:val="0"/>
          <w:numId w:val="7"/>
        </w:numPr>
        <w:spacing w:before="0" w:after="0" w:line="360" w:lineRule="auto"/>
        <w:ind w:left="0" w:leftChars="0" w:firstLine="420" w:firstLineChars="0"/>
        <w:rPr>
          <w:rFonts w:ascii="宋体"/>
          <w:color w:val="auto"/>
          <w:sz w:val="24"/>
          <w:szCs w:val="24"/>
          <w:highlight w:val="none"/>
        </w:rPr>
      </w:pPr>
      <w:r>
        <w:rPr>
          <w:rFonts w:hint="eastAsia" w:ascii="宋体" w:hAnsi="宋体" w:cs="宋体"/>
          <w:color w:val="auto"/>
          <w:sz w:val="24"/>
          <w:szCs w:val="24"/>
          <w:highlight w:val="none"/>
        </w:rPr>
        <w:t>合格投标人的资格条件：</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）具有独立承担民事责任的能力；</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）具有良好的商业信誉和健全的财务会计制度；</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）具有履行合同所必需的设备和专业技术能力；</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）有依法缴纳税收和社会保障资金的良好记录；</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）参加采购活动前三年内，在经营活动中没有重大违法记录；</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）法律、行政法规规定的其他条件；</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）投标人须在中华人民共和国境内注册，具有独立法人资格；</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）投标人被列入失信被执行人名单，拒绝其参与本次采购活动（投标人信用信息以投标截止日信用中国网站（</w:t>
      </w:r>
      <w:r>
        <w:rPr>
          <w:rFonts w:ascii="宋体" w:hAnsi="宋体" w:cs="宋体"/>
          <w:color w:val="auto"/>
          <w:sz w:val="24"/>
          <w:szCs w:val="24"/>
          <w:highlight w:val="none"/>
        </w:rPr>
        <w:t xml:space="preserve"> www.creditchina.gov.cn</w:t>
      </w:r>
      <w:r>
        <w:rPr>
          <w:rFonts w:hint="eastAsia" w:ascii="宋体" w:hAnsi="宋体" w:cs="宋体"/>
          <w:color w:val="auto"/>
          <w:sz w:val="24"/>
          <w:szCs w:val="24"/>
          <w:highlight w:val="none"/>
        </w:rPr>
        <w:t>）公布为准）；</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）本项目不接受联合体投标。</w:t>
      </w:r>
    </w:p>
    <w:p>
      <w:pPr>
        <w:numPr>
          <w:ilvl w:val="0"/>
          <w:numId w:val="7"/>
        </w:numPr>
        <w:autoSpaceDE/>
        <w:autoSpaceDN/>
        <w:snapToGrid w:val="0"/>
        <w:spacing w:line="480" w:lineRule="exact"/>
        <w:ind w:left="0" w:leftChars="0" w:firstLine="420" w:firstLineChars="0"/>
        <w:rPr>
          <w:color w:val="auto"/>
          <w:sz w:val="24"/>
          <w:szCs w:val="24"/>
          <w:highlight w:val="none"/>
        </w:rPr>
      </w:pPr>
      <w:r>
        <w:rPr>
          <w:rStyle w:val="92"/>
          <w:rFonts w:hint="eastAsia"/>
          <w:color w:val="auto"/>
          <w:sz w:val="24"/>
          <w:szCs w:val="24"/>
          <w:highlight w:val="none"/>
          <w:lang w:val="en-US" w:eastAsia="zh-CN"/>
        </w:rPr>
        <w:t>本项目投标保证金为：</w:t>
      </w:r>
      <w:r>
        <w:rPr>
          <w:rFonts w:hint="eastAsia"/>
          <w:color w:val="auto"/>
          <w:sz w:val="24"/>
          <w:szCs w:val="24"/>
          <w:highlight w:val="none"/>
          <w:lang w:val="en-US" w:eastAsia="zh-CN"/>
        </w:rPr>
        <w:t>/</w:t>
      </w:r>
      <w:r>
        <w:rPr>
          <w:rFonts w:hint="eastAsia"/>
          <w:color w:val="auto"/>
          <w:sz w:val="24"/>
          <w:szCs w:val="24"/>
          <w:highlight w:val="none"/>
        </w:rPr>
        <w:t>。</w:t>
      </w:r>
    </w:p>
    <w:p>
      <w:pPr>
        <w:pStyle w:val="2"/>
        <w:numPr>
          <w:ilvl w:val="0"/>
          <w:numId w:val="7"/>
        </w:numPr>
        <w:autoSpaceDE/>
        <w:autoSpaceDN/>
        <w:spacing w:line="480" w:lineRule="exact"/>
        <w:ind w:left="0" w:leftChars="0" w:firstLine="42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招标文件获取的方式、时间</w:t>
      </w:r>
    </w:p>
    <w:p>
      <w:pPr>
        <w:autoSpaceDE/>
        <w:autoSpaceDN/>
        <w:snapToGrid w:val="0"/>
        <w:spacing w:line="480" w:lineRule="exact"/>
        <w:ind w:firstLine="480" w:firstLineChars="200"/>
        <w:rPr>
          <w:color w:val="auto"/>
          <w:sz w:val="24"/>
          <w:szCs w:val="24"/>
          <w:highlight w:val="none"/>
        </w:rPr>
      </w:pPr>
      <w:r>
        <w:rPr>
          <w:rFonts w:hint="eastAsia"/>
          <w:color w:val="auto"/>
          <w:sz w:val="24"/>
          <w:szCs w:val="24"/>
          <w:highlight w:val="none"/>
        </w:rPr>
        <w:t>时间：</w:t>
      </w:r>
      <w:r>
        <w:rPr>
          <w:rFonts w:hint="eastAsia"/>
          <w:color w:val="auto"/>
          <w:sz w:val="24"/>
          <w:szCs w:val="24"/>
          <w:highlight w:val="none"/>
        </w:rPr>
        <w:t>2021年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 xml:space="preserve"> 12 </w:t>
      </w:r>
      <w:r>
        <w:rPr>
          <w:rFonts w:hint="eastAsia"/>
          <w:color w:val="auto"/>
          <w:sz w:val="24"/>
          <w:szCs w:val="24"/>
          <w:highlight w:val="none"/>
        </w:rPr>
        <w:t>日至2021年0</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 xml:space="preserve"> 03 </w:t>
      </w:r>
      <w:r>
        <w:rPr>
          <w:rFonts w:hint="eastAsia"/>
          <w:color w:val="auto"/>
          <w:sz w:val="24"/>
          <w:szCs w:val="24"/>
          <w:highlight w:val="none"/>
        </w:rPr>
        <w:t>日</w:t>
      </w:r>
    </w:p>
    <w:p>
      <w:pPr>
        <w:pStyle w:val="2"/>
        <w:autoSpaceDE/>
        <w:autoSpaceDN/>
        <w:spacing w:line="480" w:lineRule="exact"/>
        <w:ind w:firstLine="480" w:firstLineChars="200"/>
        <w:rPr>
          <w:color w:val="auto"/>
          <w:kern w:val="2"/>
          <w:highlight w:val="none"/>
          <w:lang w:val="en-US" w:bidi="ar-SA"/>
        </w:rPr>
      </w:pPr>
      <w:r>
        <w:rPr>
          <w:rFonts w:hint="eastAsia"/>
          <w:color w:val="auto"/>
          <w:highlight w:val="none"/>
        </w:rPr>
        <w:t>地点：</w:t>
      </w:r>
      <w:r>
        <w:rPr>
          <w:rFonts w:hint="eastAsia"/>
          <w:color w:val="auto"/>
          <w:kern w:val="2"/>
          <w:highlight w:val="none"/>
          <w:lang w:val="en-US" w:bidi="ar-SA"/>
        </w:rPr>
        <w:t>网上直接下载</w:t>
      </w:r>
    </w:p>
    <w:p>
      <w:pPr>
        <w:numPr>
          <w:ilvl w:val="0"/>
          <w:numId w:val="7"/>
        </w:numPr>
        <w:autoSpaceDE/>
        <w:autoSpaceDN/>
        <w:snapToGrid w:val="0"/>
        <w:spacing w:line="480" w:lineRule="exact"/>
        <w:ind w:left="0" w:leftChars="0" w:firstLine="420" w:firstLineChars="0"/>
        <w:rPr>
          <w:b/>
          <w:bCs/>
          <w:color w:val="auto"/>
          <w:sz w:val="24"/>
          <w:szCs w:val="24"/>
          <w:highlight w:val="none"/>
        </w:rPr>
      </w:pPr>
      <w:r>
        <w:rPr>
          <w:rFonts w:hint="eastAsia"/>
          <w:b/>
          <w:bCs/>
          <w:color w:val="auto"/>
          <w:sz w:val="24"/>
          <w:szCs w:val="24"/>
          <w:highlight w:val="none"/>
        </w:rPr>
        <w:t>投标截止时间及开标时间：</w:t>
      </w:r>
    </w:p>
    <w:p>
      <w:pPr>
        <w:autoSpaceDE/>
        <w:autoSpaceDN/>
        <w:snapToGrid w:val="0"/>
        <w:spacing w:line="480" w:lineRule="exact"/>
        <w:ind w:firstLine="480" w:firstLineChars="200"/>
        <w:rPr>
          <w:color w:val="auto"/>
          <w:sz w:val="24"/>
          <w:szCs w:val="24"/>
          <w:highlight w:val="none"/>
        </w:rPr>
      </w:pPr>
      <w:r>
        <w:rPr>
          <w:rFonts w:hint="eastAsia"/>
          <w:color w:val="auto"/>
          <w:sz w:val="24"/>
          <w:szCs w:val="24"/>
          <w:highlight w:val="none"/>
          <w:lang w:val="en-US"/>
        </w:rPr>
        <w:t>1、投标截止时间及开标时间：</w:t>
      </w:r>
      <w:r>
        <w:rPr>
          <w:rFonts w:hint="eastAsia"/>
          <w:color w:val="auto"/>
          <w:sz w:val="24"/>
          <w:szCs w:val="24"/>
          <w:highlight w:val="none"/>
          <w:u w:val="single"/>
        </w:rPr>
        <w:t>20</w:t>
      </w:r>
      <w:r>
        <w:rPr>
          <w:rFonts w:hint="eastAsia"/>
          <w:color w:val="auto"/>
          <w:sz w:val="24"/>
          <w:szCs w:val="24"/>
          <w:highlight w:val="none"/>
          <w:u w:val="single"/>
          <w:lang w:val="en-US"/>
        </w:rPr>
        <w:t>2</w:t>
      </w:r>
      <w:r>
        <w:rPr>
          <w:rFonts w:hint="eastAsia"/>
          <w:color w:val="auto"/>
          <w:sz w:val="24"/>
          <w:szCs w:val="24"/>
          <w:highlight w:val="none"/>
          <w:u w:val="single"/>
          <w:lang w:val="en-US" w:eastAsia="zh-CN"/>
        </w:rPr>
        <w:t>1</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 xml:space="preserve">8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 xml:space="preserve"> 03 </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 xml:space="preserve"> 时</w:t>
      </w:r>
      <w:r>
        <w:rPr>
          <w:rFonts w:hint="eastAsia" w:ascii="宋体" w:hAnsi="宋体" w:cs="宋体"/>
          <w:color w:val="auto"/>
          <w:sz w:val="24"/>
          <w:szCs w:val="24"/>
          <w:highlight w:val="none"/>
          <w:lang w:val="en-US" w:eastAsia="zh-CN"/>
        </w:rPr>
        <w:t>30分</w:t>
      </w:r>
      <w:r>
        <w:rPr>
          <w:rFonts w:hint="eastAsia"/>
          <w:color w:val="auto"/>
          <w:sz w:val="24"/>
          <w:szCs w:val="24"/>
          <w:highlight w:val="none"/>
        </w:rPr>
        <w:t>。</w:t>
      </w:r>
    </w:p>
    <w:p>
      <w:pPr>
        <w:autoSpaceDE/>
        <w:autoSpaceDN/>
        <w:snapToGrid w:val="0"/>
        <w:spacing w:line="480" w:lineRule="exact"/>
        <w:ind w:firstLine="480" w:firstLineChars="200"/>
        <w:rPr>
          <w:rFonts w:hint="eastAsia" w:eastAsia="宋体"/>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提交投标文件地点及开标地</w:t>
      </w:r>
      <w:r>
        <w:rPr>
          <w:rFonts w:hint="eastAsia" w:eastAsia="宋体"/>
          <w:color w:val="auto"/>
          <w:sz w:val="24"/>
          <w:szCs w:val="24"/>
          <w:highlight w:val="none"/>
        </w:rPr>
        <w:t>点：</w:t>
      </w:r>
      <w:r>
        <w:rPr>
          <w:rFonts w:hint="eastAsia" w:eastAsia="宋体"/>
          <w:color w:val="auto"/>
          <w:sz w:val="24"/>
          <w:szCs w:val="24"/>
          <w:highlight w:val="none"/>
          <w:lang w:eastAsia="zh-CN"/>
        </w:rPr>
        <w:t>三门县环境有限公司四楼会议室</w:t>
      </w:r>
      <w:r>
        <w:rPr>
          <w:rFonts w:hint="eastAsia" w:eastAsia="宋体"/>
          <w:color w:val="auto"/>
          <w:sz w:val="24"/>
          <w:szCs w:val="24"/>
          <w:highlight w:val="none"/>
        </w:rPr>
        <w:t xml:space="preserve"> 。 </w:t>
      </w:r>
    </w:p>
    <w:p>
      <w:pPr>
        <w:autoSpaceDE/>
        <w:autoSpaceDN/>
        <w:snapToGrid w:val="0"/>
        <w:spacing w:line="480" w:lineRule="exact"/>
        <w:ind w:firstLine="480" w:firstLineChars="200"/>
        <w:rPr>
          <w:rFonts w:hint="eastAsia" w:eastAsia="宋体"/>
          <w:color w:val="auto"/>
          <w:sz w:val="24"/>
          <w:szCs w:val="24"/>
          <w:highlight w:val="none"/>
          <w:lang w:val="en-US"/>
        </w:rPr>
      </w:pPr>
      <w:r>
        <w:rPr>
          <w:rFonts w:hint="eastAsia" w:eastAsia="宋体"/>
          <w:color w:val="auto"/>
          <w:sz w:val="24"/>
          <w:szCs w:val="24"/>
          <w:highlight w:val="none"/>
          <w:lang w:val="en-US" w:eastAsia="zh-CN"/>
        </w:rPr>
        <w:t>3、</w:t>
      </w:r>
      <w:r>
        <w:rPr>
          <w:rFonts w:hint="eastAsia" w:eastAsia="宋体"/>
          <w:color w:val="auto"/>
          <w:sz w:val="24"/>
          <w:szCs w:val="24"/>
          <w:highlight w:val="none"/>
          <w:lang w:val="en-US"/>
        </w:rPr>
        <w:t>逾期送达的或者未送达指定地点的投标文件，招标人不予受理。</w:t>
      </w:r>
    </w:p>
    <w:p>
      <w:pPr>
        <w:pStyle w:val="6"/>
        <w:numPr>
          <w:ilvl w:val="0"/>
          <w:numId w:val="7"/>
        </w:numPr>
        <w:spacing w:before="0" w:after="0" w:line="360" w:lineRule="auto"/>
        <w:ind w:left="0" w:leftChars="0" w:firstLine="420" w:firstLineChars="0"/>
        <w:rPr>
          <w:rFonts w:ascii="宋体"/>
          <w:color w:val="auto"/>
          <w:sz w:val="24"/>
          <w:szCs w:val="24"/>
          <w:highlight w:val="none"/>
        </w:rPr>
      </w:pPr>
      <w:r>
        <w:rPr>
          <w:rFonts w:hint="eastAsia" w:ascii="宋体" w:hAnsi="宋体" w:cs="宋体"/>
          <w:color w:val="auto"/>
          <w:sz w:val="24"/>
          <w:szCs w:val="24"/>
          <w:highlight w:val="none"/>
        </w:rPr>
        <w:t>联系方式：</w:t>
      </w:r>
    </w:p>
    <w:p>
      <w:pPr>
        <w:widowControl/>
        <w:numPr>
          <w:ilvl w:val="0"/>
          <w:numId w:val="8"/>
        </w:numPr>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采购代理机构</w:t>
      </w:r>
      <w:r>
        <w:rPr>
          <w:rFonts w:ascii="宋体" w:hAnsi="宋体" w:cs="宋体"/>
          <w:color w:val="auto"/>
          <w:kern w:val="0"/>
          <w:sz w:val="24"/>
          <w:szCs w:val="24"/>
          <w:highlight w:val="none"/>
        </w:rPr>
        <w:t xml:space="preserve"> </w:t>
      </w:r>
    </w:p>
    <w:p>
      <w:pPr>
        <w:pStyle w:val="6"/>
        <w:spacing w:before="0" w:after="0" w:line="360" w:lineRule="auto"/>
        <w:rPr>
          <w:rFonts w:ascii="宋体"/>
          <w:b w:val="0"/>
          <w:bCs w:val="0"/>
          <w:color w:val="auto"/>
          <w:kern w:val="0"/>
          <w:sz w:val="24"/>
          <w:szCs w:val="24"/>
          <w:highlight w:val="none"/>
        </w:rPr>
      </w:pPr>
      <w:r>
        <w:rPr>
          <w:rFonts w:ascii="宋体" w:hAnsi="宋体" w:cs="宋体"/>
          <w:b w:val="0"/>
          <w:bCs w:val="0"/>
          <w:color w:val="auto"/>
          <w:kern w:val="0"/>
          <w:sz w:val="24"/>
          <w:szCs w:val="24"/>
          <w:highlight w:val="none"/>
        </w:rPr>
        <w:t xml:space="preserve">  </w:t>
      </w:r>
      <w:r>
        <w:rPr>
          <w:rFonts w:hint="eastAsia" w:ascii="宋体" w:hAnsi="宋体" w:cs="宋体"/>
          <w:b w:val="0"/>
          <w:bCs w:val="0"/>
          <w:color w:val="auto"/>
          <w:kern w:val="0"/>
          <w:sz w:val="24"/>
          <w:szCs w:val="24"/>
          <w:highlight w:val="none"/>
        </w:rPr>
        <w:t>代理机构名称：三门华厦建设工程造价事务所（普通合伙）</w:t>
      </w:r>
      <w:r>
        <w:rPr>
          <w:rFonts w:ascii="宋体"/>
          <w:b w:val="0"/>
          <w:bCs w:val="0"/>
          <w:color w:val="auto"/>
          <w:kern w:val="0"/>
          <w:sz w:val="24"/>
          <w:szCs w:val="24"/>
          <w:highlight w:val="none"/>
        </w:rPr>
        <w:t> </w:t>
      </w:r>
    </w:p>
    <w:p>
      <w:pPr>
        <w:widowControl/>
        <w:spacing w:line="360" w:lineRule="auto"/>
        <w:ind w:firstLine="345"/>
        <w:jc w:val="left"/>
        <w:rPr>
          <w:color w:val="auto"/>
          <w:highlight w:val="none"/>
        </w:rPr>
      </w:pPr>
      <w:r>
        <w:rPr>
          <w:rFonts w:hint="eastAsia" w:ascii="仿宋" w:hAnsi="仿宋" w:cs="宋体"/>
          <w:color w:val="auto"/>
          <w:kern w:val="0"/>
          <w:sz w:val="24"/>
          <w:szCs w:val="24"/>
          <w:highlight w:val="none"/>
        </w:rPr>
        <w:t>联系人：方远</w:t>
      </w:r>
      <w:r>
        <w:rPr>
          <w:rFonts w:ascii="仿宋" w:hAnsi="仿宋" w:cs="仿宋"/>
          <w:color w:val="auto"/>
          <w:kern w:val="0"/>
          <w:sz w:val="24"/>
          <w:szCs w:val="24"/>
          <w:highlight w:val="none"/>
        </w:rPr>
        <w:t xml:space="preserve">             </w:t>
      </w:r>
      <w:r>
        <w:rPr>
          <w:rFonts w:hint="eastAsia" w:ascii="仿宋" w:hAnsi="仿宋" w:cs="宋体"/>
          <w:color w:val="auto"/>
          <w:kern w:val="0"/>
          <w:sz w:val="24"/>
          <w:szCs w:val="24"/>
          <w:highlight w:val="none"/>
        </w:rPr>
        <w:t>联系方式：</w:t>
      </w:r>
      <w:r>
        <w:rPr>
          <w:rFonts w:ascii="宋体" w:hAnsi="宋体" w:cs="宋体"/>
          <w:color w:val="auto"/>
          <w:kern w:val="0"/>
          <w:sz w:val="24"/>
          <w:szCs w:val="24"/>
          <w:highlight w:val="none"/>
        </w:rPr>
        <w:t>13634077717</w:t>
      </w:r>
    </w:p>
    <w:p>
      <w:pPr>
        <w:widowControl/>
        <w:numPr>
          <w:ilvl w:val="0"/>
          <w:numId w:val="8"/>
        </w:numPr>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采购人</w:t>
      </w:r>
    </w:p>
    <w:p>
      <w:pPr>
        <w:widowControl/>
        <w:spacing w:line="360" w:lineRule="auto"/>
        <w:jc w:val="left"/>
        <w:rPr>
          <w:rFonts w:ascii="仿宋" w:eastAsia="仿宋"/>
          <w:color w:val="auto"/>
          <w:kern w:val="0"/>
          <w:sz w:val="24"/>
          <w:szCs w:val="24"/>
          <w:highlight w:val="none"/>
        </w:rPr>
      </w:pPr>
      <w:r>
        <w:rPr>
          <w:rFonts w:ascii="仿宋" w:eastAsia="仿宋"/>
          <w:color w:val="auto"/>
          <w:kern w:val="0"/>
          <w:sz w:val="24"/>
          <w:szCs w:val="24"/>
          <w:highlight w:val="none"/>
        </w:rPr>
        <w:t> </w:t>
      </w:r>
      <w:r>
        <w:rPr>
          <w:rFonts w:ascii="仿宋" w:hAnsi="仿宋" w:cs="仿宋"/>
          <w:color w:val="auto"/>
          <w:kern w:val="0"/>
          <w:sz w:val="24"/>
          <w:szCs w:val="24"/>
          <w:highlight w:val="none"/>
        </w:rPr>
        <w:t xml:space="preserve">   </w:t>
      </w:r>
      <w:r>
        <w:rPr>
          <w:rFonts w:hint="eastAsia" w:ascii="仿宋" w:hAnsi="仿宋" w:cs="宋体"/>
          <w:color w:val="auto"/>
          <w:kern w:val="0"/>
          <w:sz w:val="24"/>
          <w:szCs w:val="24"/>
          <w:highlight w:val="none"/>
        </w:rPr>
        <w:t>采购人名称：</w:t>
      </w:r>
      <w:r>
        <w:rPr>
          <w:rFonts w:hint="eastAsia" w:ascii="宋体" w:hAnsi="宋体" w:cs="宋体"/>
          <w:color w:val="auto"/>
          <w:kern w:val="0"/>
          <w:sz w:val="24"/>
          <w:szCs w:val="24"/>
          <w:highlight w:val="none"/>
          <w:lang w:eastAsia="zh-CN"/>
        </w:rPr>
        <w:t>三门县环境有限公司</w:t>
      </w:r>
      <w:r>
        <w:rPr>
          <w:rFonts w:ascii="仿宋" w:eastAsia="仿宋"/>
          <w:color w:val="auto"/>
          <w:kern w:val="0"/>
          <w:sz w:val="24"/>
          <w:szCs w:val="24"/>
          <w:highlight w:val="none"/>
        </w:rPr>
        <w:t> </w:t>
      </w:r>
    </w:p>
    <w:p>
      <w:pPr>
        <w:widowControl/>
        <w:spacing w:line="360" w:lineRule="auto"/>
        <w:ind w:firstLine="345"/>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cs="宋体"/>
          <w:color w:val="auto"/>
          <w:kern w:val="0"/>
          <w:sz w:val="24"/>
          <w:szCs w:val="24"/>
          <w:highlight w:val="none"/>
          <w:lang w:eastAsia="zh-CN"/>
        </w:rPr>
        <w:t>李</w:t>
      </w:r>
      <w:r>
        <w:rPr>
          <w:rFonts w:hint="eastAsia" w:ascii="宋体" w:hAnsi="宋体" w:eastAsia="宋体" w:cs="宋体"/>
          <w:color w:val="auto"/>
          <w:kern w:val="0"/>
          <w:sz w:val="24"/>
          <w:szCs w:val="24"/>
          <w:highlight w:val="none"/>
          <w:lang w:eastAsia="zh-CN"/>
        </w:rPr>
        <w:t xml:space="preserve">先生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 xml:space="preserve">               联系方式：</w:t>
      </w:r>
      <w:r>
        <w:rPr>
          <w:rFonts w:hint="eastAsia" w:ascii="宋体" w:hAnsi="宋体" w:eastAsia="宋体" w:cs="宋体"/>
          <w:color w:val="auto"/>
          <w:kern w:val="0"/>
          <w:sz w:val="24"/>
          <w:szCs w:val="24"/>
          <w:highlight w:val="none"/>
          <w:lang w:val="en-US" w:eastAsia="zh-CN"/>
        </w:rPr>
        <w:t xml:space="preserve">625016  </w:t>
      </w: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三门县环境有限公司</w:t>
      </w:r>
    </w:p>
    <w:p>
      <w:pPr>
        <w:spacing w:line="360" w:lineRule="auto"/>
        <w:jc w:val="right"/>
        <w:rPr>
          <w:rFonts w:ascii="宋体"/>
          <w:color w:val="auto"/>
          <w:sz w:val="24"/>
          <w:szCs w:val="24"/>
          <w:highlight w:val="none"/>
        </w:rPr>
      </w:pPr>
      <w:r>
        <w:rPr>
          <w:rFonts w:hint="eastAsia" w:ascii="宋体" w:hAnsi="宋体" w:cs="宋体"/>
          <w:color w:val="auto"/>
          <w:sz w:val="24"/>
          <w:szCs w:val="24"/>
          <w:highlight w:val="none"/>
        </w:rPr>
        <w:t>三门华厦建设工程造价事务所（普通合伙）</w:t>
      </w:r>
    </w:p>
    <w:p>
      <w:pPr>
        <w:spacing w:line="400" w:lineRule="exact"/>
        <w:jc w:val="right"/>
        <w:rPr>
          <w:rFonts w:hint="eastAsia" w:ascii="宋体" w:hAnsi="宋体" w:cs="宋体"/>
          <w:color w:val="auto"/>
          <w:kern w:val="0"/>
          <w:sz w:val="24"/>
          <w:szCs w:val="24"/>
          <w:highlight w:val="none"/>
        </w:rPr>
      </w:pPr>
      <w:r>
        <w:rPr>
          <w:rFonts w:ascii="宋体" w:hAnsi="宋体" w:cs="宋体"/>
          <w:color w:val="auto"/>
          <w:kern w:val="0"/>
          <w:sz w:val="24"/>
          <w:szCs w:val="24"/>
          <w:highlight w:val="none"/>
        </w:rPr>
        <w:t>2021</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 xml:space="preserve">  12</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spacing w:line="400" w:lineRule="exact"/>
        <w:jc w:val="right"/>
        <w:rPr>
          <w:rFonts w:ascii="宋体"/>
          <w:b/>
          <w:bCs/>
          <w:color w:val="auto"/>
          <w:kern w:val="0"/>
          <w:sz w:val="36"/>
          <w:szCs w:val="36"/>
          <w:highlight w:val="none"/>
        </w:rPr>
      </w:pPr>
      <w:r>
        <w:rPr>
          <w:rFonts w:hint="eastAsia" w:ascii="宋体" w:hAnsi="宋体" w:cs="宋体"/>
          <w:color w:val="auto"/>
          <w:kern w:val="0"/>
          <w:sz w:val="24"/>
          <w:szCs w:val="24"/>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rPr>
        <w:t>投标人须知</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前附表</w:t>
      </w:r>
    </w:p>
    <w:tbl>
      <w:tblPr>
        <w:tblStyle w:val="24"/>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516"/>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52" w:type="dxa"/>
            <w:vAlign w:val="center"/>
          </w:tcPr>
          <w:p>
            <w:pPr>
              <w:spacing w:line="360" w:lineRule="auto"/>
              <w:jc w:val="center"/>
              <w:rPr>
                <w:rFonts w:ascii="宋体"/>
                <w:color w:val="auto"/>
                <w:highlight w:val="none"/>
              </w:rPr>
            </w:pPr>
            <w:r>
              <w:rPr>
                <w:rFonts w:hint="eastAsia" w:ascii="宋体" w:hAnsi="宋体" w:cs="宋体"/>
                <w:color w:val="auto"/>
                <w:highlight w:val="none"/>
              </w:rPr>
              <w:t>序号</w:t>
            </w:r>
          </w:p>
        </w:tc>
        <w:tc>
          <w:tcPr>
            <w:tcW w:w="2516" w:type="dxa"/>
            <w:vAlign w:val="center"/>
          </w:tcPr>
          <w:p>
            <w:pPr>
              <w:spacing w:line="360" w:lineRule="auto"/>
              <w:jc w:val="center"/>
              <w:rPr>
                <w:rFonts w:ascii="宋体"/>
                <w:color w:val="auto"/>
                <w:highlight w:val="none"/>
              </w:rPr>
            </w:pPr>
            <w:r>
              <w:rPr>
                <w:rFonts w:hint="eastAsia" w:ascii="宋体" w:hAnsi="宋体" w:cs="宋体"/>
                <w:color w:val="auto"/>
                <w:highlight w:val="none"/>
              </w:rPr>
              <w:t>项</w:t>
            </w:r>
            <w:r>
              <w:rPr>
                <w:rFonts w:ascii="宋体" w:hAnsi="宋体" w:cs="宋体"/>
                <w:color w:val="auto"/>
                <w:highlight w:val="none"/>
              </w:rPr>
              <w:t xml:space="preserve">    </w:t>
            </w:r>
            <w:r>
              <w:rPr>
                <w:rFonts w:hint="eastAsia" w:ascii="宋体" w:hAnsi="宋体" w:cs="宋体"/>
                <w:color w:val="auto"/>
                <w:highlight w:val="none"/>
              </w:rPr>
              <w:t>目</w:t>
            </w:r>
          </w:p>
        </w:tc>
        <w:tc>
          <w:tcPr>
            <w:tcW w:w="6737" w:type="dxa"/>
            <w:vAlign w:val="center"/>
          </w:tcPr>
          <w:p>
            <w:pPr>
              <w:spacing w:line="360" w:lineRule="auto"/>
              <w:jc w:val="center"/>
              <w:rPr>
                <w:rFonts w:ascii="宋体"/>
                <w:color w:val="auto"/>
                <w:highlight w:val="none"/>
              </w:rPr>
            </w:pP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2516" w:type="dxa"/>
            <w:vAlign w:val="center"/>
          </w:tcPr>
          <w:p>
            <w:pPr>
              <w:widowControl/>
              <w:jc w:val="left"/>
              <w:rPr>
                <w:rFonts w:ascii="宋体"/>
                <w:color w:val="auto"/>
                <w:kern w:val="0"/>
                <w:sz w:val="24"/>
                <w:szCs w:val="24"/>
                <w:highlight w:val="none"/>
              </w:rPr>
            </w:pPr>
            <w:r>
              <w:rPr>
                <w:rFonts w:hint="eastAsia" w:ascii="宋体" w:hAnsi="宋体" w:cs="宋体"/>
                <w:color w:val="auto"/>
                <w:kern w:val="0"/>
                <w:sz w:val="24"/>
                <w:szCs w:val="24"/>
                <w:highlight w:val="none"/>
              </w:rPr>
              <w:t>投标文件包装要求</w:t>
            </w:r>
            <w:r>
              <w:rPr>
                <w:rFonts w:ascii="宋体" w:hAnsi="宋体" w:cs="宋体"/>
                <w:color w:val="auto"/>
                <w:kern w:val="0"/>
                <w:sz w:val="24"/>
                <w:szCs w:val="24"/>
                <w:highlight w:val="none"/>
              </w:rPr>
              <w:t xml:space="preserve"> </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资格证明文件共</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份（</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正本</w:t>
            </w:r>
            <w:r>
              <w:rPr>
                <w:rFonts w:ascii="宋体" w:hAnsi="宋体" w:cs="宋体"/>
                <w:color w:val="auto"/>
                <w:sz w:val="24"/>
                <w:szCs w:val="24"/>
                <w:highlight w:val="none"/>
              </w:rPr>
              <w:t xml:space="preserve"> 4 </w:t>
            </w:r>
            <w:r>
              <w:rPr>
                <w:rFonts w:hint="eastAsia" w:ascii="宋体" w:hAnsi="宋体" w:cs="宋体"/>
                <w:color w:val="auto"/>
                <w:sz w:val="24"/>
                <w:szCs w:val="24"/>
                <w:highlight w:val="none"/>
              </w:rPr>
              <w:t>副本，封装成一袋），</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商务与技术文件共</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份（</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正本</w:t>
            </w:r>
            <w:r>
              <w:rPr>
                <w:rFonts w:ascii="宋体" w:hAnsi="宋体" w:cs="宋体"/>
                <w:color w:val="auto"/>
                <w:sz w:val="24"/>
                <w:szCs w:val="24"/>
                <w:highlight w:val="none"/>
              </w:rPr>
              <w:t xml:space="preserve"> 4 </w:t>
            </w:r>
            <w:r>
              <w:rPr>
                <w:rFonts w:hint="eastAsia" w:ascii="宋体" w:hAnsi="宋体" w:cs="宋体"/>
                <w:color w:val="auto"/>
                <w:sz w:val="24"/>
                <w:szCs w:val="24"/>
                <w:highlight w:val="none"/>
              </w:rPr>
              <w:t>副本，封装成一袋），报价文件共</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份（</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正本</w:t>
            </w:r>
            <w:r>
              <w:rPr>
                <w:rFonts w:ascii="宋体" w:hAnsi="宋体" w:cs="宋体"/>
                <w:color w:val="auto"/>
                <w:sz w:val="24"/>
                <w:szCs w:val="24"/>
                <w:highlight w:val="none"/>
              </w:rPr>
              <w:t xml:space="preserve"> 4 </w:t>
            </w:r>
            <w:r>
              <w:rPr>
                <w:rFonts w:hint="eastAsia" w:ascii="宋体" w:hAnsi="宋体" w:cs="宋体"/>
                <w:color w:val="auto"/>
                <w:sz w:val="24"/>
                <w:szCs w:val="24"/>
                <w:highlight w:val="none"/>
              </w:rPr>
              <w:t>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4</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5</w:t>
            </w:r>
          </w:p>
        </w:tc>
        <w:tc>
          <w:tcPr>
            <w:tcW w:w="2516" w:type="dxa"/>
            <w:vAlign w:val="center"/>
          </w:tcPr>
          <w:p>
            <w:pPr>
              <w:widowControl/>
              <w:jc w:val="center"/>
              <w:rPr>
                <w:rFonts w:ascii="宋体"/>
                <w:color w:val="auto"/>
                <w:kern w:val="0"/>
                <w:sz w:val="24"/>
                <w:szCs w:val="24"/>
                <w:highlight w:val="none"/>
              </w:rPr>
            </w:pPr>
            <w:r>
              <w:rPr>
                <w:rFonts w:hint="eastAsia" w:ascii="宋体" w:hAnsi="宋体" w:cs="宋体"/>
                <w:color w:val="auto"/>
                <w:kern w:val="0"/>
                <w:sz w:val="24"/>
                <w:szCs w:val="24"/>
                <w:highlight w:val="none"/>
              </w:rPr>
              <w:t>投标文件递交</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时间：</w:t>
            </w:r>
            <w:r>
              <w:rPr>
                <w:rFonts w:ascii="宋体" w:hAnsi="宋体" w:cs="宋体"/>
                <w:color w:val="auto"/>
                <w:sz w:val="24"/>
                <w:szCs w:val="24"/>
                <w:highlight w:val="none"/>
              </w:rPr>
              <w:t>2021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03</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 xml:space="preserve"> 时</w:t>
            </w:r>
            <w:r>
              <w:rPr>
                <w:rFonts w:hint="eastAsia" w:ascii="宋体" w:hAnsi="宋体" w:cs="宋体"/>
                <w:color w:val="auto"/>
                <w:sz w:val="24"/>
                <w:szCs w:val="24"/>
                <w:highlight w:val="none"/>
                <w:lang w:val="en-US" w:eastAsia="zh-CN"/>
              </w:rPr>
              <w:t>30分</w:t>
            </w:r>
            <w:r>
              <w:rPr>
                <w:rFonts w:hint="eastAsia" w:ascii="宋体" w:hAnsi="宋体" w:cs="宋体"/>
                <w:color w:val="auto"/>
                <w:sz w:val="24"/>
                <w:szCs w:val="24"/>
                <w:highlight w:val="none"/>
              </w:rPr>
              <w:t>（北京时间）</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地点：</w:t>
            </w:r>
            <w:r>
              <w:rPr>
                <w:rFonts w:hint="eastAsia" w:eastAsia="宋体"/>
                <w:color w:val="auto"/>
                <w:sz w:val="24"/>
                <w:szCs w:val="24"/>
                <w:highlight w:val="none"/>
                <w:lang w:eastAsia="zh-CN"/>
              </w:rPr>
              <w:t>三门县环境有限公司四楼会议室</w:t>
            </w:r>
            <w:r>
              <w:rPr>
                <w:rFonts w:hint="eastAsia" w:eastAsia="宋体"/>
                <w:color w:val="auto"/>
                <w:sz w:val="24"/>
                <w:szCs w:val="24"/>
                <w:highlight w:val="none"/>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6</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rPr>
              <w:t>2021年</w:t>
            </w:r>
            <w:r>
              <w:rPr>
                <w:rFonts w:hint="eastAsia" w:ascii="宋体" w:hAnsi="宋体" w:cs="宋体"/>
                <w:color w:val="auto"/>
                <w:sz w:val="24"/>
                <w:szCs w:val="24"/>
                <w:highlight w:val="none"/>
                <w:lang w:val="en-US" w:eastAsia="zh-CN"/>
              </w:rPr>
              <w:t xml:space="preserve"> 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03</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 xml:space="preserve"> 时</w:t>
            </w:r>
            <w:r>
              <w:rPr>
                <w:rFonts w:hint="eastAsia" w:ascii="宋体" w:hAnsi="宋体" w:cs="宋体"/>
                <w:color w:val="auto"/>
                <w:sz w:val="24"/>
                <w:szCs w:val="24"/>
                <w:highlight w:val="none"/>
                <w:lang w:val="en-US" w:eastAsia="zh-CN"/>
              </w:rPr>
              <w:t>30分</w:t>
            </w:r>
            <w:r>
              <w:rPr>
                <w:rFonts w:hint="eastAsia" w:ascii="宋体" w:hAnsi="宋体" w:cs="宋体"/>
                <w:color w:val="auto"/>
                <w:sz w:val="24"/>
                <w:szCs w:val="24"/>
                <w:highlight w:val="none"/>
              </w:rPr>
              <w:t xml:space="preserve">（北京时间） </w:t>
            </w:r>
          </w:p>
          <w:p>
            <w:pPr>
              <w:spacing w:line="360" w:lineRule="auto"/>
              <w:rPr>
                <w:rFonts w:ascii="宋体"/>
                <w:color w:val="auto"/>
                <w:sz w:val="24"/>
                <w:szCs w:val="24"/>
                <w:highlight w:val="none"/>
              </w:rPr>
            </w:pPr>
            <w:r>
              <w:rPr>
                <w:rFonts w:hint="eastAsia" w:ascii="宋体" w:hAnsi="宋体" w:cs="宋体"/>
                <w:color w:val="auto"/>
                <w:sz w:val="24"/>
                <w:szCs w:val="24"/>
                <w:highlight w:val="none"/>
              </w:rPr>
              <w:t>地点：</w:t>
            </w:r>
            <w:r>
              <w:rPr>
                <w:rFonts w:hint="eastAsia" w:eastAsia="宋体"/>
                <w:color w:val="auto"/>
                <w:sz w:val="24"/>
                <w:szCs w:val="24"/>
                <w:highlight w:val="none"/>
                <w:lang w:eastAsia="zh-CN"/>
              </w:rPr>
              <w:t>三门县环境有限公司四楼会议室</w:t>
            </w:r>
            <w:r>
              <w:rPr>
                <w:rFonts w:hint="eastAsia" w:eastAsia="宋体"/>
                <w:color w:val="auto"/>
                <w:sz w:val="24"/>
                <w:szCs w:val="24"/>
                <w:highlight w:val="none"/>
              </w:rPr>
              <w:t xml:space="preserve"> </w:t>
            </w:r>
            <w:r>
              <w:rPr>
                <w:rFonts w:hint="eastAsia" w:ascii="宋体" w:hAnsi="宋体" w:cs="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7</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投标保证金</w:t>
            </w:r>
          </w:p>
        </w:tc>
        <w:tc>
          <w:tcPr>
            <w:tcW w:w="6737" w:type="dxa"/>
            <w:vAlign w:val="center"/>
          </w:tcPr>
          <w:p>
            <w:pPr>
              <w:spacing w:line="360" w:lineRule="auto"/>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8</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6737" w:type="dxa"/>
            <w:vAlign w:val="center"/>
          </w:tcPr>
          <w:p>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9</w:t>
            </w:r>
          </w:p>
        </w:tc>
        <w:tc>
          <w:tcPr>
            <w:tcW w:w="2516" w:type="dxa"/>
            <w:vAlign w:val="center"/>
          </w:tcPr>
          <w:p>
            <w:pPr>
              <w:autoSpaceDE w:val="0"/>
              <w:autoSpaceDN w:val="0"/>
              <w:adjustRightInd w:val="0"/>
              <w:spacing w:line="360" w:lineRule="auto"/>
              <w:jc w:val="center"/>
              <w:rPr>
                <w:rFonts w:ascii="宋体"/>
                <w:color w:val="auto"/>
                <w:sz w:val="24"/>
                <w:szCs w:val="24"/>
                <w:highlight w:val="none"/>
                <w:lang w:val="zh-CN"/>
              </w:rPr>
            </w:pPr>
            <w:r>
              <w:rPr>
                <w:rFonts w:hint="eastAsia" w:ascii="宋体" w:hAnsi="宋体" w:cs="宋体"/>
                <w:color w:val="auto"/>
                <w:sz w:val="24"/>
                <w:szCs w:val="24"/>
                <w:highlight w:val="none"/>
                <w:lang w:val="zh-CN"/>
              </w:rPr>
              <w:t>实质性条款</w:t>
            </w:r>
          </w:p>
        </w:tc>
        <w:tc>
          <w:tcPr>
            <w:tcW w:w="6737" w:type="dxa"/>
            <w:vAlign w:val="center"/>
          </w:tcPr>
          <w:p>
            <w:pPr>
              <w:autoSpaceDE w:val="0"/>
              <w:autoSpaceDN w:val="0"/>
              <w:adjustRightInd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10</w:t>
            </w:r>
          </w:p>
        </w:tc>
        <w:tc>
          <w:tcPr>
            <w:tcW w:w="2516" w:type="dxa"/>
            <w:vAlign w:val="center"/>
          </w:tcPr>
          <w:p>
            <w:pPr>
              <w:autoSpaceDE w:val="0"/>
              <w:autoSpaceDN w:val="0"/>
              <w:adjustRightInd w:val="0"/>
              <w:spacing w:line="360" w:lineRule="auto"/>
              <w:jc w:val="center"/>
              <w:rPr>
                <w:rFonts w:ascii="宋体"/>
                <w:color w:val="auto"/>
                <w:sz w:val="24"/>
                <w:szCs w:val="24"/>
                <w:highlight w:val="none"/>
                <w:lang w:val="zh-CN"/>
              </w:rPr>
            </w:pPr>
            <w:r>
              <w:rPr>
                <w:rFonts w:hint="eastAsia" w:ascii="宋体" w:hAnsi="宋体" w:cs="宋体"/>
                <w:color w:val="auto"/>
                <w:sz w:val="24"/>
                <w:szCs w:val="24"/>
                <w:highlight w:val="none"/>
                <w:lang w:val="zh-CN"/>
              </w:rPr>
              <w:t>开标程序</w:t>
            </w:r>
          </w:p>
        </w:tc>
        <w:tc>
          <w:tcPr>
            <w:tcW w:w="6737" w:type="dxa"/>
            <w:vAlign w:val="center"/>
          </w:tcPr>
          <w:p>
            <w:pPr>
              <w:autoSpaceDE w:val="0"/>
              <w:autoSpaceDN w:val="0"/>
              <w:adjustRightInd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先开资格证明文件和商务与技术文件，待资格证明文件</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和商务与技术文件评审结果公布后，再开报价文件。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11</w:t>
            </w:r>
          </w:p>
        </w:tc>
        <w:tc>
          <w:tcPr>
            <w:tcW w:w="2516" w:type="dxa"/>
            <w:vAlign w:val="center"/>
          </w:tcPr>
          <w:p>
            <w:pP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解释权</w:t>
            </w:r>
          </w:p>
        </w:tc>
        <w:tc>
          <w:tcPr>
            <w:tcW w:w="6737" w:type="dxa"/>
            <w:vAlign w:val="center"/>
          </w:tcPr>
          <w:p>
            <w:pPr>
              <w:autoSpaceDE w:val="0"/>
              <w:autoSpaceDN w:val="0"/>
              <w:adjustRightInd w:val="0"/>
              <w:spacing w:line="360" w:lineRule="auto"/>
              <w:rPr>
                <w:rFonts w:ascii="宋体"/>
                <w:color w:val="auto"/>
                <w:sz w:val="24"/>
                <w:szCs w:val="24"/>
                <w:highlight w:val="none"/>
              </w:rPr>
            </w:pPr>
            <w:r>
              <w:rPr>
                <w:rFonts w:hint="eastAsia" w:ascii="宋体" w:hAnsi="宋体" w:cs="宋体"/>
                <w:color w:val="auto"/>
                <w:sz w:val="24"/>
                <w:szCs w:val="24"/>
                <w:highlight w:val="none"/>
              </w:rPr>
              <w:t>本招标文件解释权属于采购人和代理机构</w:t>
            </w:r>
          </w:p>
        </w:tc>
      </w:tr>
    </w:tbl>
    <w:p>
      <w:pPr>
        <w:rPr>
          <w:rFonts w:hAnsi="宋体"/>
          <w:b/>
          <w:bCs/>
          <w:color w:val="auto"/>
          <w:sz w:val="24"/>
          <w:szCs w:val="24"/>
          <w:highlight w:val="none"/>
        </w:rPr>
      </w:pPr>
      <w:r>
        <w:rPr>
          <w:rFonts w:hAnsi="宋体"/>
          <w:b/>
          <w:bCs/>
          <w:color w:val="auto"/>
          <w:sz w:val="24"/>
          <w:szCs w:val="24"/>
          <w:highlight w:val="none"/>
        </w:rPr>
        <w:br w:type="page"/>
      </w:r>
    </w:p>
    <w:p>
      <w:pPr>
        <w:pStyle w:val="15"/>
        <w:snapToGrid w:val="0"/>
        <w:spacing w:before="120" w:after="120" w:line="360" w:lineRule="auto"/>
        <w:rPr>
          <w:rFonts w:hAnsi="宋体" w:cs="Times New Roman"/>
          <w:b/>
          <w:bCs/>
          <w:color w:val="auto"/>
          <w:sz w:val="24"/>
          <w:szCs w:val="24"/>
          <w:highlight w:val="none"/>
        </w:rPr>
      </w:pPr>
      <w:r>
        <w:rPr>
          <w:rFonts w:hint="eastAsia" w:hAnsi="宋体"/>
          <w:b/>
          <w:bCs/>
          <w:color w:val="auto"/>
          <w:sz w:val="24"/>
          <w:szCs w:val="24"/>
          <w:highlight w:val="none"/>
        </w:rPr>
        <w:t>一</w:t>
      </w:r>
      <w:r>
        <w:rPr>
          <w:rFonts w:hAnsi="宋体"/>
          <w:b/>
          <w:bCs/>
          <w:color w:val="auto"/>
          <w:sz w:val="24"/>
          <w:szCs w:val="24"/>
          <w:highlight w:val="none"/>
        </w:rPr>
        <w:t xml:space="preserve"> </w:t>
      </w:r>
      <w:r>
        <w:rPr>
          <w:rFonts w:hint="eastAsia" w:hAnsi="宋体"/>
          <w:b/>
          <w:bCs/>
          <w:color w:val="auto"/>
          <w:sz w:val="24"/>
          <w:szCs w:val="24"/>
          <w:highlight w:val="none"/>
        </w:rPr>
        <w:t>、总</w:t>
      </w:r>
      <w:r>
        <w:rPr>
          <w:rFonts w:hAnsi="宋体"/>
          <w:b/>
          <w:bCs/>
          <w:color w:val="auto"/>
          <w:sz w:val="24"/>
          <w:szCs w:val="24"/>
          <w:highlight w:val="none"/>
        </w:rPr>
        <w:t xml:space="preserve">  </w:t>
      </w:r>
      <w:r>
        <w:rPr>
          <w:rFonts w:hint="eastAsia" w:hAnsi="宋体"/>
          <w:b/>
          <w:bCs/>
          <w:color w:val="auto"/>
          <w:sz w:val="24"/>
          <w:szCs w:val="24"/>
          <w:highlight w:val="none"/>
        </w:rPr>
        <w:t>则</w:t>
      </w:r>
    </w:p>
    <w:p>
      <w:pPr>
        <w:snapToGrid w:val="0"/>
        <w:spacing w:line="360" w:lineRule="auto"/>
        <w:ind w:firstLine="472" w:firstLineChars="196"/>
        <w:jc w:val="left"/>
        <w:outlineLvl w:val="1"/>
        <w:rPr>
          <w:rFonts w:ascii="宋体"/>
          <w:b/>
          <w:bCs/>
          <w:color w:val="auto"/>
          <w:sz w:val="24"/>
          <w:szCs w:val="24"/>
          <w:highlight w:val="none"/>
        </w:rPr>
      </w:pPr>
      <w:r>
        <w:rPr>
          <w:rFonts w:hint="eastAsia" w:ascii="宋体" w:hAnsi="宋体" w:cs="宋体"/>
          <w:b/>
          <w:bCs/>
          <w:color w:val="auto"/>
          <w:sz w:val="24"/>
          <w:szCs w:val="24"/>
          <w:highlight w:val="none"/>
        </w:rPr>
        <w:t>（一）</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适用范围</w:t>
      </w:r>
    </w:p>
    <w:p>
      <w:pPr>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pPr>
        <w:snapToGrid w:val="0"/>
        <w:spacing w:beforeLines="50" w:line="360" w:lineRule="auto"/>
        <w:ind w:firstLine="354" w:firstLineChars="147"/>
        <w:jc w:val="left"/>
        <w:outlineLvl w:val="1"/>
        <w:rPr>
          <w:rFonts w:ascii="宋体"/>
          <w:b/>
          <w:bCs/>
          <w:color w:val="auto"/>
          <w:sz w:val="24"/>
          <w:szCs w:val="24"/>
          <w:highlight w:val="none"/>
        </w:rPr>
      </w:pPr>
      <w:r>
        <w:rPr>
          <w:rFonts w:hint="eastAsia" w:ascii="宋体" w:hAnsi="宋体" w:cs="宋体"/>
          <w:b/>
          <w:bCs/>
          <w:color w:val="auto"/>
          <w:sz w:val="24"/>
          <w:szCs w:val="24"/>
          <w:highlight w:val="none"/>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宋体"/>
          <w:b w:val="0"/>
          <w:bCs w:val="0"/>
          <w:color w:val="auto"/>
          <w:sz w:val="24"/>
          <w:szCs w:val="24"/>
          <w:highlight w:val="none"/>
        </w:rPr>
      </w:pPr>
      <w:r>
        <w:rPr>
          <w:rFonts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eastAsia="zh-CN"/>
        </w:rPr>
        <w:t>三门县环境有限公司</w:t>
      </w:r>
      <w:r>
        <w:rPr>
          <w:rFonts w:hint="eastAsia" w:ascii="宋体" w:hAnsi="宋体" w:cs="宋体"/>
          <w:color w:val="auto"/>
          <w:sz w:val="24"/>
          <w:szCs w:val="24"/>
          <w:highlight w:val="none"/>
        </w:rPr>
        <w:t>。</w:t>
      </w:r>
    </w:p>
    <w:p>
      <w:pPr>
        <w:snapToGrid w:val="0"/>
        <w:spacing w:line="360" w:lineRule="auto"/>
        <w:ind w:left="424" w:leftChars="202" w:firstLine="141" w:firstLineChars="59"/>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pPr>
        <w:snapToGrid w:val="0"/>
        <w:spacing w:line="360" w:lineRule="auto"/>
        <w:ind w:left="424" w:leftChars="202" w:firstLine="143"/>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pPr>
        <w:snapToGrid w:val="0"/>
        <w:spacing w:line="360" w:lineRule="auto"/>
        <w:ind w:firstLine="566" w:firstLineChars="236"/>
        <w:jc w:val="left"/>
        <w:rPr>
          <w:rFonts w:ascii="宋体"/>
          <w:b/>
          <w:bCs/>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、服务：是指除货物和工程以外的采购对象，包括各类专业服务、信息网络开发服务、金融保险服务、运输服务，以及维修与维护服务等。</w:t>
      </w:r>
    </w:p>
    <w:p>
      <w:pPr>
        <w:snapToGrid w:val="0"/>
        <w:spacing w:line="360" w:lineRule="auto"/>
        <w:ind w:firstLine="566" w:firstLineChars="236"/>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pPr>
        <w:snapToGrid w:val="0"/>
        <w:spacing w:line="360" w:lineRule="auto"/>
        <w:ind w:firstLine="566" w:firstLineChars="236"/>
        <w:jc w:val="left"/>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pPr>
        <w:snapToGrid w:val="0"/>
        <w:spacing w:beforeLines="50" w:line="360" w:lineRule="auto"/>
        <w:ind w:firstLine="472" w:firstLineChars="196"/>
        <w:jc w:val="left"/>
        <w:outlineLvl w:val="1"/>
        <w:rPr>
          <w:rFonts w:ascii="宋体"/>
          <w:b/>
          <w:bCs/>
          <w:color w:val="auto"/>
          <w:sz w:val="24"/>
          <w:szCs w:val="24"/>
          <w:highlight w:val="none"/>
        </w:rPr>
      </w:pPr>
      <w:r>
        <w:rPr>
          <w:rFonts w:hint="eastAsia" w:ascii="宋体" w:hAnsi="宋体" w:cs="宋体"/>
          <w:b/>
          <w:bCs/>
          <w:color w:val="auto"/>
          <w:sz w:val="24"/>
          <w:szCs w:val="24"/>
          <w:highlight w:val="none"/>
        </w:rPr>
        <w:t>（三）投标费用</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、不论投标结果如何，投标人均应自行承担所有与投标有关的全部费用（招标文件有相关规定除外）。</w:t>
      </w:r>
    </w:p>
    <w:p>
      <w:pPr>
        <w:snapToGrid w:val="0"/>
        <w:spacing w:line="360" w:lineRule="auto"/>
        <w:ind w:firstLine="482" w:firstLineChars="200"/>
        <w:jc w:val="left"/>
        <w:rPr>
          <w:b/>
          <w:color w:val="auto"/>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rPr>
        <w:t>本次招标代理服务费为人民币</w:t>
      </w:r>
      <w:r>
        <w:rPr>
          <w:rFonts w:hint="eastAsia" w:ascii="宋体" w:hAnsi="宋体" w:cs="宋体"/>
          <w:b/>
          <w:bCs/>
          <w:color w:val="auto"/>
          <w:sz w:val="24"/>
          <w:szCs w:val="24"/>
          <w:highlight w:val="none"/>
          <w:lang w:val="en-US" w:eastAsia="zh-CN"/>
        </w:rPr>
        <w:t>6000</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由中标供应商承担，在领取中标通知书时一次性付清。</w:t>
      </w:r>
      <w:r>
        <w:rPr>
          <w:rFonts w:ascii="宋体" w:hAnsi="宋体" w:cs="宋体"/>
          <w:b/>
          <w:color w:val="auto"/>
          <w:sz w:val="24"/>
          <w:szCs w:val="24"/>
          <w:highlight w:val="none"/>
        </w:rPr>
        <w:t xml:space="preserve"> </w:t>
      </w:r>
    </w:p>
    <w:p>
      <w:pPr>
        <w:pStyle w:val="15"/>
        <w:snapToGrid w:val="0"/>
        <w:spacing w:line="360" w:lineRule="auto"/>
        <w:ind w:left="2" w:leftChars="1" w:firstLine="482" w:firstLineChars="200"/>
        <w:rPr>
          <w:rFonts w:hAnsi="宋体" w:cs="Times New Roman"/>
          <w:b/>
          <w:bCs/>
          <w:color w:val="auto"/>
          <w:sz w:val="24"/>
          <w:szCs w:val="24"/>
          <w:highlight w:val="none"/>
        </w:rPr>
      </w:pPr>
      <w:r>
        <w:rPr>
          <w:rFonts w:hint="eastAsia" w:hAnsi="宋体"/>
          <w:b/>
          <w:bCs/>
          <w:color w:val="auto"/>
          <w:sz w:val="24"/>
          <w:szCs w:val="24"/>
          <w:highlight w:val="none"/>
        </w:rPr>
        <w:t>（四）特别说明</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1</w:t>
      </w:r>
      <w:r>
        <w:rPr>
          <w:rFonts w:hint="eastAsia" w:hAnsi="宋体" w:cs="宋体"/>
          <w:color w:val="auto"/>
          <w:sz w:val="24"/>
          <w:szCs w:val="24"/>
          <w:highlight w:val="none"/>
        </w:rPr>
        <w:t>、投标人投标所使用的资格、信誉、荣誉、业绩与企业认证必须为本法人所拥有。投标人投标所使用的采购项目实施人员必须为本法人员工（指本法人或控股公司正式员工）。</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2</w:t>
      </w:r>
      <w:r>
        <w:rPr>
          <w:rFonts w:hint="eastAsia"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3</w:t>
      </w:r>
      <w:r>
        <w:rPr>
          <w:rFonts w:hint="eastAsia" w:hAnsi="宋体" w:cs="宋体"/>
          <w:color w:val="auto"/>
          <w:sz w:val="24"/>
          <w:szCs w:val="24"/>
          <w:highlight w:val="none"/>
        </w:rPr>
        <w:t>、投标人在投标活动中提供任何虚假材料</w:t>
      </w:r>
      <w:r>
        <w:rPr>
          <w:rFonts w:hAnsi="宋体"/>
          <w:color w:val="auto"/>
          <w:sz w:val="24"/>
          <w:szCs w:val="24"/>
          <w:highlight w:val="none"/>
        </w:rPr>
        <w:t xml:space="preserve">, </w:t>
      </w:r>
      <w:r>
        <w:rPr>
          <w:rFonts w:hint="eastAsia" w:hAnsi="宋体" w:cs="宋体"/>
          <w:color w:val="auto"/>
          <w:sz w:val="24"/>
          <w:szCs w:val="24"/>
          <w:highlight w:val="none"/>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w:t>
      </w:r>
      <w:r>
        <w:rPr>
          <w:rFonts w:hAnsi="宋体"/>
          <w:color w:val="auto"/>
          <w:sz w:val="24"/>
          <w:szCs w:val="24"/>
          <w:highlight w:val="none"/>
        </w:rPr>
        <w:t xml:space="preserve"> </w:t>
      </w:r>
      <w:r>
        <w:rPr>
          <w:rFonts w:hint="eastAsia" w:hAnsi="宋体" w:cs="宋体"/>
          <w:color w:val="auto"/>
          <w:sz w:val="24"/>
          <w:szCs w:val="24"/>
          <w:highlight w:val="none"/>
        </w:rPr>
        <w:t>情节严重的，取消其一年至三年内参加依法必须进行招标的项目的投标资格并予以公告，直至由工商行政管理机关吊销营业执照。</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4</w:t>
      </w:r>
      <w:r>
        <w:rPr>
          <w:rFonts w:hint="eastAsia"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5</w:t>
      </w:r>
      <w:r>
        <w:rPr>
          <w:rFonts w:hint="eastAsia" w:hAnsi="宋体" w:cs="宋体"/>
          <w:color w:val="auto"/>
          <w:sz w:val="24"/>
          <w:szCs w:val="24"/>
          <w:highlight w:val="none"/>
        </w:rPr>
        <w:t>、投标文件格式中的表格式样可以根据项目差别做适当调整</w:t>
      </w:r>
      <w:r>
        <w:rPr>
          <w:rFonts w:hAnsi="宋体"/>
          <w:color w:val="auto"/>
          <w:sz w:val="24"/>
          <w:szCs w:val="24"/>
          <w:highlight w:val="none"/>
        </w:rPr>
        <w:t>,</w:t>
      </w:r>
      <w:r>
        <w:rPr>
          <w:rFonts w:hint="eastAsia" w:hAnsi="宋体" w:cs="宋体"/>
          <w:color w:val="auto"/>
          <w:sz w:val="24"/>
          <w:szCs w:val="24"/>
          <w:highlight w:val="none"/>
        </w:rPr>
        <w:t>但应当保持表格样式基本形态不变。</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6</w:t>
      </w:r>
      <w:r>
        <w:rPr>
          <w:rFonts w:hint="eastAsia" w:hAnsi="宋体" w:cs="宋体"/>
          <w:color w:val="auto"/>
          <w:sz w:val="24"/>
          <w:szCs w:val="24"/>
          <w:highlight w:val="none"/>
        </w:rPr>
        <w:t>、单位负责人为同一人或者存在直接控股、管理关系的不同供应商，不得参加同一合同项下的采购活动。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7</w:t>
      </w:r>
      <w:r>
        <w:rPr>
          <w:rFonts w:hint="eastAsia" w:hAnsi="宋体" w:cs="宋体"/>
          <w:color w:val="auto"/>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二、招标文件</w:t>
      </w:r>
    </w:p>
    <w:p>
      <w:pPr>
        <w:autoSpaceDE w:val="0"/>
        <w:autoSpaceDN w:val="0"/>
        <w:adjustRightInd w:val="0"/>
        <w:spacing w:line="360" w:lineRule="auto"/>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（一）招标文件由招标文件总目录所列内容组成。</w:t>
      </w:r>
    </w:p>
    <w:p>
      <w:pPr>
        <w:autoSpaceDE w:val="0"/>
        <w:autoSpaceDN w:val="0"/>
        <w:adjustRightInd w:val="0"/>
        <w:spacing w:line="360" w:lineRule="auto"/>
        <w:ind w:firstLine="360" w:firstLineChars="150"/>
        <w:rPr>
          <w:rFonts w:ascii="宋体"/>
          <w:color w:val="auto"/>
          <w:kern w:val="0"/>
          <w:sz w:val="24"/>
          <w:szCs w:val="24"/>
          <w:highlight w:val="none"/>
        </w:rPr>
      </w:pPr>
      <w:r>
        <w:rPr>
          <w:rFonts w:hint="eastAsia" w:ascii="宋体" w:hAnsi="宋体" w:cs="宋体"/>
          <w:color w:val="auto"/>
          <w:kern w:val="0"/>
          <w:sz w:val="24"/>
          <w:szCs w:val="24"/>
          <w:highlight w:val="none"/>
        </w:rPr>
        <w:t>（二）招标文件的澄清或修改</w:t>
      </w:r>
    </w:p>
    <w:p>
      <w:pPr>
        <w:autoSpaceDE w:val="0"/>
        <w:autoSpaceDN w:val="0"/>
        <w:adjustRightInd w:val="0"/>
        <w:spacing w:line="360" w:lineRule="auto"/>
        <w:ind w:firstLine="420" w:firstLineChars="175"/>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日前，在原公告发布媒体上发布澄清公告，澄清或者修改的内容为招标文件的组成部分；不足</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日的，采购人或者采购组织机构应当顺延提交投标文件的截止时间。</w:t>
      </w:r>
      <w:r>
        <w:rPr>
          <w:rFonts w:ascii="宋体" w:hAnsi="宋体" w:cs="宋体"/>
          <w:color w:val="auto"/>
          <w:kern w:val="0"/>
          <w:sz w:val="24"/>
          <w:szCs w:val="24"/>
          <w:highlight w:val="none"/>
        </w:rPr>
        <w:t xml:space="preserve"> </w:t>
      </w:r>
    </w:p>
    <w:p>
      <w:pPr>
        <w:autoSpaceDE w:val="0"/>
        <w:autoSpaceDN w:val="0"/>
        <w:adjustRightInd w:val="0"/>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auto"/>
        <w:rPr>
          <w:rFonts w:ascii="宋体"/>
          <w:b/>
          <w:bCs/>
          <w:color w:val="auto"/>
          <w:kern w:val="0"/>
          <w:sz w:val="24"/>
          <w:szCs w:val="24"/>
          <w:highlight w:val="none"/>
        </w:rPr>
      </w:pPr>
      <w:r>
        <w:rPr>
          <w:rFonts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rPr>
        <w:t>三、投标文件</w:t>
      </w:r>
    </w:p>
    <w:p>
      <w:pPr>
        <w:autoSpaceDE w:val="0"/>
        <w:autoSpaceDN w:val="0"/>
        <w:adjustRightInd w:val="0"/>
        <w:spacing w:line="360" w:lineRule="auto"/>
        <w:ind w:firstLine="482" w:firstLineChars="200"/>
        <w:rPr>
          <w:rFonts w:ascii="宋体"/>
          <w:b/>
          <w:bCs/>
          <w:color w:val="auto"/>
          <w:kern w:val="0"/>
          <w:sz w:val="24"/>
          <w:szCs w:val="24"/>
          <w:highlight w:val="none"/>
        </w:rPr>
      </w:pPr>
      <w:r>
        <w:rPr>
          <w:rFonts w:hint="eastAsia" w:ascii="宋体" w:cs="宋体"/>
          <w:b/>
          <w:bCs/>
          <w:color w:val="auto"/>
          <w:sz w:val="24"/>
          <w:szCs w:val="24"/>
          <w:highlight w:val="none"/>
          <w:lang w:val="zh-CN"/>
        </w:rPr>
        <w:t>（一）</w:t>
      </w:r>
      <w:r>
        <w:rPr>
          <w:rFonts w:hint="eastAsia" w:ascii="宋体" w:hAnsi="宋体" w:cs="宋体"/>
          <w:b/>
          <w:bCs/>
          <w:color w:val="auto"/>
          <w:kern w:val="0"/>
          <w:sz w:val="24"/>
          <w:szCs w:val="24"/>
          <w:highlight w:val="none"/>
        </w:rPr>
        <w:t>投标文件的组成</w:t>
      </w:r>
    </w:p>
    <w:p>
      <w:pPr>
        <w:snapToGrid w:val="0"/>
        <w:spacing w:line="360" w:lineRule="auto"/>
        <w:ind w:firstLine="482" w:firstLineChars="200"/>
        <w:rPr>
          <w:rFonts w:ascii="宋体"/>
          <w:b/>
          <w:bCs/>
          <w:color w:val="auto"/>
          <w:kern w:val="0"/>
          <w:sz w:val="24"/>
          <w:szCs w:val="24"/>
          <w:highlight w:val="none"/>
        </w:rPr>
      </w:pPr>
      <w:r>
        <w:rPr>
          <w:rFonts w:hint="eastAsia" w:ascii="宋体" w:hAnsi="宋体" w:cs="宋体"/>
          <w:b/>
          <w:bCs/>
          <w:color w:val="auto"/>
          <w:kern w:val="0"/>
          <w:sz w:val="24"/>
          <w:szCs w:val="24"/>
          <w:highlight w:val="none"/>
        </w:rPr>
        <w:t>注：投标文件由资格证明文件、商务与技术文件、报价文件组成。</w:t>
      </w:r>
    </w:p>
    <w:p>
      <w:pPr>
        <w:snapToGrid w:val="0"/>
        <w:spacing w:line="360" w:lineRule="auto"/>
        <w:rPr>
          <w:rFonts w:ascii="宋体"/>
          <w:color w:val="auto"/>
          <w:kern w:val="0"/>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pPr>
        <w:widowControl/>
        <w:numPr>
          <w:ilvl w:val="0"/>
          <w:numId w:val="9"/>
        </w:numPr>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sz w:val="24"/>
          <w:szCs w:val="24"/>
          <w:highlight w:val="none"/>
        </w:rPr>
        <w:t>投标声明书（见附件</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widowControl/>
        <w:numPr>
          <w:ilvl w:val="0"/>
          <w:numId w:val="9"/>
        </w:numPr>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sz w:val="24"/>
          <w:szCs w:val="24"/>
          <w:highlight w:val="none"/>
        </w:rPr>
        <w:t>授权委托书（法定代表人亲自办理投标事宜的，则无需提交</w:t>
      </w:r>
      <w:r>
        <w:rPr>
          <w:rFonts w:ascii="宋体" w:hAnsi="宋体" w:cs="宋体"/>
          <w:color w:val="auto"/>
          <w:sz w:val="24"/>
          <w:szCs w:val="24"/>
          <w:highlight w:val="none"/>
        </w:rPr>
        <w:t>)</w:t>
      </w:r>
      <w:r>
        <w:rPr>
          <w:rFonts w:hint="eastAsia" w:ascii="宋体" w:hAnsi="宋体" w:cs="宋体"/>
          <w:color w:val="auto"/>
          <w:sz w:val="24"/>
          <w:szCs w:val="24"/>
          <w:highlight w:val="none"/>
        </w:rPr>
        <w:t>（见附件</w:t>
      </w:r>
      <w:r>
        <w:rPr>
          <w:rFonts w:ascii="宋体" w:hAnsi="宋体" w:cs="宋体"/>
          <w:color w:val="auto"/>
          <w:sz w:val="24"/>
          <w:szCs w:val="24"/>
          <w:highlight w:val="none"/>
        </w:rPr>
        <w:t>2</w:t>
      </w:r>
      <w:r>
        <w:rPr>
          <w:rFonts w:hint="eastAsia" w:ascii="宋体" w:hAnsi="宋体" w:cs="宋体"/>
          <w:color w:val="auto"/>
          <w:sz w:val="24"/>
          <w:szCs w:val="24"/>
          <w:highlight w:val="none"/>
        </w:rPr>
        <w:t>）；</w:t>
      </w:r>
    </w:p>
    <w:p>
      <w:pPr>
        <w:widowControl/>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）提供有效的营业执照复印件；如事业单位参加投标的，则提供有效的《事业单位法人证书》复印件；</w:t>
      </w:r>
    </w:p>
    <w:p>
      <w:pPr>
        <w:widowControl/>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kern w:val="21"/>
          <w:sz w:val="24"/>
          <w:szCs w:val="24"/>
          <w:highlight w:val="none"/>
          <w:lang w:val="zh-CN"/>
        </w:rPr>
        <w:t>（</w:t>
      </w:r>
      <w:r>
        <w:rPr>
          <w:rFonts w:ascii="宋体" w:hAnsi="宋体" w:cs="宋体"/>
          <w:color w:val="auto"/>
          <w:kern w:val="21"/>
          <w:sz w:val="24"/>
          <w:szCs w:val="24"/>
          <w:highlight w:val="none"/>
        </w:rPr>
        <w:t>4</w:t>
      </w:r>
      <w:r>
        <w:rPr>
          <w:rFonts w:hint="eastAsia" w:ascii="宋体" w:hAnsi="宋体" w:cs="宋体"/>
          <w:color w:val="auto"/>
          <w:kern w:val="21"/>
          <w:sz w:val="24"/>
          <w:szCs w:val="24"/>
          <w:highlight w:val="none"/>
        </w:rPr>
        <w:t>）</w:t>
      </w:r>
      <w:r>
        <w:rPr>
          <w:rFonts w:hint="eastAsia" w:ascii="宋体" w:hAnsi="宋体" w:cs="宋体"/>
          <w:color w:val="auto"/>
          <w:sz w:val="24"/>
          <w:szCs w:val="24"/>
          <w:highlight w:val="none"/>
        </w:rPr>
        <w:t>财务状况报告（财务审计报告或利润表和资产负债表），依法缴纳税收和社会保障资金的相关材料；</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）提供其他需要说明的其他资料。</w:t>
      </w:r>
    </w:p>
    <w:p>
      <w:pPr>
        <w:snapToGrid w:val="0"/>
        <w:spacing w:line="360" w:lineRule="auto"/>
        <w:ind w:firstLine="482" w:firstLineChars="200"/>
        <w:rPr>
          <w:rFonts w:ascii="宋体"/>
          <w:color w:val="auto"/>
          <w:sz w:val="24"/>
          <w:szCs w:val="24"/>
          <w:highlight w:val="none"/>
          <w:u w:val="singl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、商务与技术文件的组成：</w:t>
      </w:r>
    </w:p>
    <w:p>
      <w:pPr>
        <w:pStyle w:val="11"/>
        <w:widowControl/>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）投标人情况介绍（人员与技术力量、企业规模、经营业绩等，格式自拟）。</w:t>
      </w:r>
    </w:p>
    <w:p>
      <w:pPr>
        <w:pStyle w:val="11"/>
        <w:widowControl/>
        <w:adjustRightInd w:val="0"/>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2) </w:t>
      </w:r>
      <w:r>
        <w:rPr>
          <w:rFonts w:hint="eastAsia" w:hAnsi="宋体" w:cs="宋体"/>
          <w:color w:val="auto"/>
          <w:sz w:val="24"/>
          <w:szCs w:val="24"/>
          <w:highlight w:val="none"/>
        </w:rPr>
        <w:t>类似项目业绩一览表（如有）（</w:t>
      </w:r>
      <w:r>
        <w:rPr>
          <w:rFonts w:hint="eastAsia" w:ascii="宋体" w:hAnsi="宋体" w:cs="宋体"/>
          <w:color w:val="auto"/>
          <w:sz w:val="24"/>
          <w:szCs w:val="24"/>
          <w:highlight w:val="none"/>
        </w:rPr>
        <w:t>见</w:t>
      </w:r>
      <w:r>
        <w:rPr>
          <w:rFonts w:hint="eastAsia" w:hAnsi="宋体" w:cs="宋体"/>
          <w:color w:val="auto"/>
          <w:sz w:val="24"/>
          <w:szCs w:val="24"/>
          <w:highlight w:val="none"/>
        </w:rPr>
        <w:t>附件</w:t>
      </w:r>
      <w:r>
        <w:rPr>
          <w:rFonts w:hAnsi="宋体"/>
          <w:color w:val="auto"/>
          <w:sz w:val="24"/>
          <w:szCs w:val="24"/>
          <w:highlight w:val="none"/>
        </w:rPr>
        <w:t>3</w:t>
      </w:r>
      <w:r>
        <w:rPr>
          <w:rFonts w:hint="eastAsia" w:hAnsi="宋体" w:cs="宋体"/>
          <w:color w:val="auto"/>
          <w:sz w:val="24"/>
          <w:szCs w:val="24"/>
          <w:highlight w:val="none"/>
        </w:rPr>
        <w:t>），附上每个业绩的合同复印件并加盖公章；</w:t>
      </w:r>
    </w:p>
    <w:p>
      <w:pPr>
        <w:pStyle w:val="11"/>
        <w:widowControl/>
        <w:adjustRightInd w:val="0"/>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hAnsi="宋体" w:cs="宋体"/>
          <w:color w:val="auto"/>
          <w:sz w:val="24"/>
          <w:szCs w:val="24"/>
          <w:highlight w:val="none"/>
        </w:rPr>
        <w:t>项目实施人员一览表（</w:t>
      </w:r>
      <w:r>
        <w:rPr>
          <w:rFonts w:hint="eastAsia" w:ascii="宋体" w:hAnsi="宋体" w:cs="宋体"/>
          <w:color w:val="auto"/>
          <w:sz w:val="24"/>
          <w:szCs w:val="24"/>
          <w:highlight w:val="none"/>
        </w:rPr>
        <w:t>见</w:t>
      </w:r>
      <w:r>
        <w:rPr>
          <w:rFonts w:hint="eastAsia" w:hAnsi="宋体" w:cs="宋体"/>
          <w:color w:val="auto"/>
          <w:sz w:val="24"/>
          <w:szCs w:val="24"/>
          <w:highlight w:val="none"/>
        </w:rPr>
        <w:t>附件</w:t>
      </w:r>
      <w:r>
        <w:rPr>
          <w:rFonts w:hAnsi="宋体"/>
          <w:color w:val="auto"/>
          <w:sz w:val="24"/>
          <w:szCs w:val="24"/>
          <w:highlight w:val="none"/>
        </w:rPr>
        <w:t>4</w:t>
      </w:r>
      <w:r>
        <w:rPr>
          <w:rFonts w:hint="eastAsia" w:hAnsi="宋体" w:cs="宋体"/>
          <w:color w:val="auto"/>
          <w:sz w:val="24"/>
          <w:szCs w:val="24"/>
          <w:highlight w:val="none"/>
        </w:rPr>
        <w:t>）；</w:t>
      </w:r>
    </w:p>
    <w:p>
      <w:pPr>
        <w:pStyle w:val="11"/>
        <w:widowControl/>
        <w:adjustRightInd w:val="0"/>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cs="宋体"/>
          <w:color w:val="auto"/>
          <w:sz w:val="24"/>
          <w:szCs w:val="24"/>
          <w:highlight w:val="none"/>
        </w:rPr>
        <w:t>项目设备配置清单（附件</w:t>
      </w:r>
      <w:r>
        <w:rPr>
          <w:color w:val="auto"/>
          <w:sz w:val="24"/>
          <w:szCs w:val="24"/>
          <w:highlight w:val="none"/>
        </w:rPr>
        <w:t>5</w:t>
      </w:r>
      <w:r>
        <w:rPr>
          <w:rFonts w:hint="eastAsia"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）商务响应表（见附件</w:t>
      </w:r>
      <w:r>
        <w:rPr>
          <w:rFonts w:ascii="宋体" w:hAnsi="宋体" w:cs="宋体"/>
          <w:color w:val="auto"/>
          <w:sz w:val="24"/>
          <w:szCs w:val="24"/>
          <w:highlight w:val="none"/>
        </w:rPr>
        <w:t>6</w:t>
      </w:r>
      <w:r>
        <w:rPr>
          <w:rFonts w:hint="eastAsia" w:ascii="宋体" w:hAnsi="宋体" w:cs="宋体"/>
          <w:color w:val="auto"/>
          <w:sz w:val="24"/>
          <w:szCs w:val="24"/>
          <w:highlight w:val="none"/>
        </w:rPr>
        <w:t>）；</w:t>
      </w:r>
    </w:p>
    <w:p>
      <w:pPr>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hAnsi="宋体" w:cs="宋体"/>
          <w:color w:val="auto"/>
          <w:kern w:val="0"/>
          <w:sz w:val="24"/>
          <w:szCs w:val="24"/>
          <w:highlight w:val="none"/>
          <w:lang w:val="zh-CN"/>
        </w:rPr>
        <w:t>技术响应表</w:t>
      </w:r>
      <w:r>
        <w:rPr>
          <w:rFonts w:hint="eastAsia" w:hAnsi="宋体" w:cs="宋体"/>
          <w:color w:val="auto"/>
          <w:sz w:val="24"/>
          <w:szCs w:val="24"/>
          <w:highlight w:val="none"/>
        </w:rPr>
        <w:t>（</w:t>
      </w:r>
      <w:r>
        <w:rPr>
          <w:rFonts w:hint="eastAsia" w:ascii="宋体" w:hAnsi="宋体" w:cs="宋体"/>
          <w:color w:val="auto"/>
          <w:sz w:val="24"/>
          <w:szCs w:val="24"/>
          <w:highlight w:val="none"/>
        </w:rPr>
        <w:t>见</w:t>
      </w:r>
      <w:r>
        <w:rPr>
          <w:rFonts w:hint="eastAsia" w:hAnsi="宋体" w:cs="宋体"/>
          <w:color w:val="auto"/>
          <w:sz w:val="24"/>
          <w:szCs w:val="24"/>
          <w:highlight w:val="none"/>
        </w:rPr>
        <w:t>附件</w:t>
      </w:r>
      <w:r>
        <w:rPr>
          <w:rFonts w:hAnsi="宋体"/>
          <w:color w:val="auto"/>
          <w:sz w:val="24"/>
          <w:szCs w:val="24"/>
          <w:highlight w:val="none"/>
        </w:rPr>
        <w:t>7</w:t>
      </w:r>
      <w:r>
        <w:rPr>
          <w:rFonts w:hint="eastAsia" w:hAnsi="宋体" w:cs="宋体"/>
          <w:color w:val="auto"/>
          <w:sz w:val="24"/>
          <w:szCs w:val="24"/>
          <w:highlight w:val="none"/>
        </w:rPr>
        <w:t>）；</w:t>
      </w:r>
    </w:p>
    <w:p>
      <w:pPr>
        <w:spacing w:line="360" w:lineRule="auto"/>
        <w:ind w:firstLine="480" w:firstLineChars="200"/>
        <w:rPr>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）无重大违法记录声明（见附件</w:t>
      </w:r>
      <w:r>
        <w:rPr>
          <w:rFonts w:ascii="宋体" w:hAnsi="宋体" w:cs="宋体"/>
          <w:color w:val="auto"/>
          <w:sz w:val="24"/>
          <w:szCs w:val="24"/>
          <w:highlight w:val="none"/>
        </w:rPr>
        <w:t>8</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）本项目工艺设计及技术方案、施工方案、组织措施及项目进度、技术培训方案</w:t>
      </w:r>
      <w:r>
        <w:rPr>
          <w:rFonts w:hint="eastAsia" w:ascii="宋体" w:hAnsi="宋体" w:cs="宋体"/>
          <w:color w:val="auto"/>
          <w:sz w:val="24"/>
          <w:szCs w:val="24"/>
          <w:highlight w:val="none"/>
          <w:lang w:eastAsia="zh-CN"/>
        </w:rPr>
        <w:t>；系统配置的合理性及软硬件配置总体评价；工程质量保证情况；售后服务承诺</w:t>
      </w:r>
      <w:r>
        <w:rPr>
          <w:rFonts w:hint="eastAsia" w:ascii="宋体" w:hAnsi="宋体" w:cs="宋体"/>
          <w:color w:val="auto"/>
          <w:sz w:val="24"/>
          <w:szCs w:val="24"/>
          <w:highlight w:val="none"/>
        </w:rPr>
        <w:t>等（格式自拟）；</w:t>
      </w:r>
    </w:p>
    <w:p>
      <w:pPr>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w:t>
      </w:r>
      <w:r>
        <w:rPr>
          <w:rFonts w:hint="eastAsia" w:hAnsi="宋体" w:cs="宋体"/>
          <w:color w:val="auto"/>
          <w:sz w:val="24"/>
          <w:szCs w:val="24"/>
          <w:highlight w:val="none"/>
        </w:rPr>
        <w:t>供应商认为需要提供的其他资料（包括可能影响供应商务与技术文件评分的各类证明材料）。</w:t>
      </w:r>
    </w:p>
    <w:p>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、报价文件的组成：</w:t>
      </w:r>
      <w:r>
        <w:rPr>
          <w:rFonts w:ascii="宋体" w:hAnsi="宋体" w:cs="宋体"/>
          <w:b/>
          <w:bCs/>
          <w:color w:val="auto"/>
          <w:sz w:val="24"/>
          <w:szCs w:val="24"/>
          <w:highlight w:val="none"/>
        </w:rPr>
        <w:t xml:space="preserve"> </w:t>
      </w:r>
    </w:p>
    <w:p>
      <w:pPr>
        <w:snapToGrid w:val="0"/>
        <w:spacing w:line="360" w:lineRule="auto"/>
        <w:ind w:firstLine="480" w:firstLineChars="200"/>
        <w:rPr>
          <w:rFonts w:hAnsi="宋体"/>
          <w:color w:val="auto"/>
          <w:sz w:val="24"/>
          <w:szCs w:val="24"/>
          <w:highlight w:val="none"/>
        </w:rPr>
      </w:pPr>
      <w:r>
        <w:rPr>
          <w:rFonts w:hint="eastAsia" w:hAnsi="宋体" w:cs="宋体"/>
          <w:color w:val="auto"/>
          <w:sz w:val="24"/>
          <w:szCs w:val="24"/>
          <w:highlight w:val="none"/>
        </w:rPr>
        <w:t>（</w:t>
      </w:r>
      <w:r>
        <w:rPr>
          <w:rFonts w:hAnsi="宋体"/>
          <w:color w:val="auto"/>
          <w:sz w:val="24"/>
          <w:szCs w:val="24"/>
          <w:highlight w:val="none"/>
        </w:rPr>
        <w:t>1</w:t>
      </w:r>
      <w:r>
        <w:rPr>
          <w:rFonts w:hint="eastAsia" w:hAnsi="宋体" w:cs="宋体"/>
          <w:color w:val="auto"/>
          <w:sz w:val="24"/>
          <w:szCs w:val="24"/>
          <w:highlight w:val="none"/>
        </w:rPr>
        <w:t>）开标一览表（见附件</w:t>
      </w:r>
      <w:r>
        <w:rPr>
          <w:rFonts w:hAnsi="宋体"/>
          <w:color w:val="auto"/>
          <w:sz w:val="24"/>
          <w:szCs w:val="24"/>
          <w:highlight w:val="none"/>
        </w:rPr>
        <w:t>9</w:t>
      </w:r>
      <w:r>
        <w:rPr>
          <w:rFonts w:hint="eastAsia" w:hAnsi="宋体" w:cs="宋体"/>
          <w:color w:val="auto"/>
          <w:sz w:val="24"/>
          <w:szCs w:val="24"/>
          <w:highlight w:val="none"/>
        </w:rPr>
        <w:t>）；</w:t>
      </w:r>
      <w:r>
        <w:rPr>
          <w:rFonts w:hAnsi="宋体"/>
          <w:color w:val="auto"/>
          <w:sz w:val="24"/>
          <w:szCs w:val="24"/>
          <w:highlight w:val="none"/>
        </w:rPr>
        <w:t xml:space="preserve"> </w:t>
      </w:r>
    </w:p>
    <w:p>
      <w:pPr>
        <w:snapToGrid w:val="0"/>
        <w:spacing w:line="360" w:lineRule="auto"/>
        <w:ind w:firstLine="480" w:firstLineChars="200"/>
        <w:rPr>
          <w:rFonts w:hAnsi="宋体"/>
          <w:color w:val="auto"/>
          <w:sz w:val="24"/>
          <w:szCs w:val="24"/>
          <w:highlight w:val="none"/>
        </w:rPr>
      </w:pPr>
      <w:r>
        <w:rPr>
          <w:rFonts w:hint="eastAsia" w:hAnsi="宋体" w:cs="宋体"/>
          <w:color w:val="auto"/>
          <w:sz w:val="24"/>
          <w:szCs w:val="24"/>
          <w:highlight w:val="none"/>
        </w:rPr>
        <w:t>（</w:t>
      </w:r>
      <w:r>
        <w:rPr>
          <w:rFonts w:hAnsi="宋体"/>
          <w:color w:val="auto"/>
          <w:sz w:val="24"/>
          <w:szCs w:val="24"/>
          <w:highlight w:val="none"/>
        </w:rPr>
        <w:t>2</w:t>
      </w:r>
      <w:r>
        <w:rPr>
          <w:rFonts w:hint="eastAsia" w:hAnsi="宋体" w:cs="宋体"/>
          <w:color w:val="auto"/>
          <w:sz w:val="24"/>
          <w:szCs w:val="24"/>
          <w:highlight w:val="none"/>
        </w:rPr>
        <w:t>）投标报价明细表（见附件</w:t>
      </w:r>
      <w:r>
        <w:rPr>
          <w:rFonts w:hAnsi="宋体"/>
          <w:color w:val="auto"/>
          <w:sz w:val="24"/>
          <w:szCs w:val="24"/>
          <w:highlight w:val="none"/>
        </w:rPr>
        <w:t>10</w:t>
      </w:r>
      <w:r>
        <w:rPr>
          <w:rFonts w:hint="eastAsia" w:hAnsi="宋体" w:cs="宋体"/>
          <w:color w:val="auto"/>
          <w:sz w:val="24"/>
          <w:szCs w:val="24"/>
          <w:highlight w:val="none"/>
        </w:rPr>
        <w:t>）。</w:t>
      </w:r>
    </w:p>
    <w:p>
      <w:pPr>
        <w:numPr>
          <w:ilvl w:val="0"/>
          <w:numId w:val="10"/>
        </w:numPr>
        <w:spacing w:line="360" w:lineRule="auto"/>
        <w:rPr>
          <w:rFonts w:ascii="宋体"/>
          <w:b/>
          <w:bCs/>
          <w:color w:val="auto"/>
          <w:kern w:val="0"/>
          <w:sz w:val="24"/>
          <w:szCs w:val="24"/>
          <w:highlight w:val="none"/>
        </w:rPr>
      </w:pPr>
      <w:r>
        <w:rPr>
          <w:rFonts w:hint="eastAsia" w:ascii="宋体" w:hAnsi="宋体" w:cs="宋体"/>
          <w:b/>
          <w:bCs/>
          <w:color w:val="auto"/>
          <w:kern w:val="0"/>
          <w:sz w:val="24"/>
          <w:szCs w:val="24"/>
          <w:highlight w:val="none"/>
        </w:rPr>
        <w:t>投标报价</w:t>
      </w:r>
      <w:r>
        <w:rPr>
          <w:rFonts w:ascii="宋体" w:hAnsi="宋体" w:cs="宋体"/>
          <w:b/>
          <w:bCs/>
          <w:color w:val="auto"/>
          <w:kern w:val="0"/>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投标报价应按招标文件中相关附表《开标一览表》格式填写。</w:t>
      </w:r>
      <w:r>
        <w:rPr>
          <w:rFonts w:ascii="宋体" w:hAnsi="宋体" w:cs="宋体"/>
          <w:color w:val="auto"/>
          <w:sz w:val="24"/>
          <w:szCs w:val="24"/>
          <w:highlight w:val="none"/>
        </w:rPr>
        <w:t xml:space="preserve"> </w:t>
      </w:r>
    </w:p>
    <w:p>
      <w:pPr>
        <w:spacing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报价是完成本项目所涉及相关工作等所有费用。投标报价应包括产品出厂价格（含税）、软件费用、服务费、标准附件、备品备件、专用工具、运杂费、运输保险费、包装、安装调试费、培训费、验收费、售后服务费、投标费、交付业主使用前所产生的其它费用以及合同包含的所有风险、责任等各项应有费用及不可预见费等全部费用。如有漏项，视同已包含在本项目的总报价中，合同总价不做调整。</w:t>
      </w:r>
      <w:bookmarkStart w:id="4" w:name="_GoBack"/>
      <w:bookmarkEnd w:id="4"/>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投标文件只允许有一个报价，有选择的报价将不予接受。</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本项目设有最高限价，</w:t>
      </w:r>
      <w:r>
        <w:rPr>
          <w:rFonts w:hint="eastAsia" w:ascii="宋体" w:hAnsi="宋体" w:cs="宋体"/>
          <w:b/>
          <w:bCs/>
          <w:color w:val="auto"/>
          <w:sz w:val="24"/>
          <w:szCs w:val="24"/>
          <w:highlight w:val="none"/>
        </w:rPr>
        <w:t>最高限价为</w:t>
      </w:r>
      <w:r>
        <w:rPr>
          <w:rFonts w:hint="eastAsia" w:ascii="宋体" w:hAnsi="宋体" w:cs="宋体"/>
          <w:b/>
          <w:bCs/>
          <w:color w:val="auto"/>
          <w:sz w:val="24"/>
          <w:szCs w:val="24"/>
          <w:highlight w:val="none"/>
          <w:lang w:val="en-US" w:eastAsia="zh-CN"/>
        </w:rPr>
        <w:t>57</w:t>
      </w:r>
      <w:r>
        <w:rPr>
          <w:rFonts w:hint="eastAsia" w:ascii="宋体" w:hAnsi="宋体" w:cs="宋体"/>
          <w:b/>
          <w:bCs/>
          <w:color w:val="auto"/>
          <w:sz w:val="24"/>
          <w:szCs w:val="24"/>
          <w:highlight w:val="none"/>
        </w:rPr>
        <w:t>万元</w:t>
      </w:r>
      <w:r>
        <w:rPr>
          <w:rFonts w:hint="eastAsia" w:ascii="宋体" w:hAnsi="宋体" w:cs="宋体"/>
          <w:color w:val="auto"/>
          <w:sz w:val="24"/>
          <w:szCs w:val="24"/>
          <w:highlight w:val="none"/>
        </w:rPr>
        <w:t>。若投标报价超过最高限价的，其投标</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文件作无效标处理。</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投标报价明细表及开标一览表中每单项必须填写单价和合价</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其它属于招标内容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范围内而未列入设备材料清单子目内的，视为己包含或分配到设备材料清单的其他单价或</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合价之中。</w:t>
      </w:r>
      <w:r>
        <w:rPr>
          <w:rFonts w:ascii="宋体" w:hAnsi="宋体" w:cs="宋体"/>
          <w:color w:val="auto"/>
          <w:sz w:val="24"/>
          <w:szCs w:val="24"/>
          <w:highlight w:val="none"/>
        </w:rPr>
        <w:t xml:space="preserve"> </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附件中除空白部分由投标人自报外，其余内容作为投标报价的共同基础，如投标人</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擅自更改将引起废标。</w:t>
      </w:r>
    </w:p>
    <w:p>
      <w:pPr>
        <w:numPr>
          <w:ilvl w:val="0"/>
          <w:numId w:val="10"/>
        </w:numPr>
        <w:spacing w:line="360" w:lineRule="auto"/>
        <w:rPr>
          <w:rFonts w:ascii="宋体"/>
          <w:b/>
          <w:bCs/>
          <w:color w:val="auto"/>
          <w:kern w:val="0"/>
          <w:sz w:val="24"/>
          <w:szCs w:val="24"/>
          <w:highlight w:val="none"/>
        </w:rPr>
      </w:pPr>
      <w:r>
        <w:rPr>
          <w:rFonts w:hint="eastAsia" w:ascii="宋体" w:hAnsi="宋体" w:cs="宋体"/>
          <w:b/>
          <w:bCs/>
          <w:color w:val="auto"/>
          <w:kern w:val="0"/>
          <w:sz w:val="24"/>
          <w:szCs w:val="24"/>
          <w:highlight w:val="none"/>
        </w:rPr>
        <w:t>投标文件的制作、封装及递交要求</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投标文件的份数</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①投标人应按招标文件规定的内容和要求编制、装订投标文件。投标文件中所有文字</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及表格应采用白色标准</w:t>
      </w:r>
      <w:r>
        <w:rPr>
          <w:rFonts w:ascii="宋体" w:hAnsi="宋体" w:cs="宋体"/>
          <w:color w:val="auto"/>
          <w:kern w:val="0"/>
          <w:sz w:val="24"/>
          <w:szCs w:val="24"/>
          <w:highlight w:val="none"/>
        </w:rPr>
        <w:t>A4</w:t>
      </w:r>
      <w:r>
        <w:rPr>
          <w:rFonts w:hint="eastAsia" w:ascii="宋体" w:hAnsi="宋体" w:cs="宋体"/>
          <w:color w:val="auto"/>
          <w:kern w:val="0"/>
          <w:sz w:val="24"/>
          <w:szCs w:val="24"/>
          <w:highlight w:val="none"/>
        </w:rPr>
        <w:t>纸（如有图纸可采用</w:t>
      </w:r>
      <w:r>
        <w:rPr>
          <w:rFonts w:ascii="宋体" w:hAnsi="宋体" w:cs="宋体"/>
          <w:color w:val="auto"/>
          <w:kern w:val="0"/>
          <w:sz w:val="24"/>
          <w:szCs w:val="24"/>
          <w:highlight w:val="none"/>
        </w:rPr>
        <w:t>A3</w:t>
      </w:r>
      <w:r>
        <w:rPr>
          <w:rFonts w:hint="eastAsia" w:ascii="宋体" w:hAnsi="宋体" w:cs="宋体"/>
          <w:color w:val="auto"/>
          <w:kern w:val="0"/>
          <w:sz w:val="24"/>
          <w:szCs w:val="24"/>
          <w:highlight w:val="none"/>
        </w:rPr>
        <w:t>纸）进行打印或印刷</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建议双面打印或印刷），并逐页连续标注页码。</w:t>
      </w:r>
      <w:r>
        <w:rPr>
          <w:rFonts w:hint="eastAsia" w:ascii="宋体" w:hAnsi="宋体" w:cs="宋体"/>
          <w:b/>
          <w:bCs/>
          <w:color w:val="auto"/>
          <w:kern w:val="0"/>
          <w:sz w:val="24"/>
          <w:szCs w:val="24"/>
          <w:highlight w:val="none"/>
        </w:rPr>
        <w:t>封面不得简装，不得活页装订</w:t>
      </w:r>
      <w:r>
        <w:rPr>
          <w:rFonts w:hint="eastAsia" w:ascii="宋体" w:hAnsi="宋体" w:cs="宋体"/>
          <w:color w:val="auto"/>
          <w:kern w:val="0"/>
          <w:sz w:val="24"/>
          <w:szCs w:val="24"/>
          <w:highlight w:val="none"/>
        </w:rPr>
        <w:t>。因投标文件内容不完整、编排混乱导致投标文件被误读、漏读或者查找不到相关内容的责任由投标人自行承担。</w:t>
      </w:r>
      <w:r>
        <w:rPr>
          <w:rFonts w:ascii="宋体" w:hAnsi="宋体" w:cs="宋体"/>
          <w:color w:val="auto"/>
          <w:kern w:val="0"/>
          <w:sz w:val="24"/>
          <w:szCs w:val="24"/>
          <w:highlight w:val="none"/>
        </w:rPr>
        <w:t xml:space="preserve"> </w:t>
      </w:r>
    </w:p>
    <w:p>
      <w:pPr>
        <w:widowControl/>
        <w:spacing w:line="360" w:lineRule="auto"/>
        <w:ind w:firstLine="482" w:firstLineChars="200"/>
        <w:jc w:val="left"/>
        <w:rPr>
          <w:color w:val="auto"/>
          <w:highlight w:val="none"/>
        </w:rPr>
      </w:pPr>
      <w:r>
        <w:rPr>
          <w:rFonts w:hint="eastAsia" w:ascii="宋体" w:hAnsi="宋体" w:cs="宋体"/>
          <w:b/>
          <w:bCs/>
          <w:color w:val="auto"/>
          <w:kern w:val="0"/>
          <w:sz w:val="24"/>
          <w:szCs w:val="24"/>
          <w:highlight w:val="none"/>
        </w:rPr>
        <w:t>▲②资格证明文件、商务与技术文件、报价文件各</w:t>
      </w:r>
      <w:r>
        <w:rPr>
          <w:rFonts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u w:val="single"/>
        </w:rPr>
        <w:t>5</w:t>
      </w:r>
      <w:r>
        <w:rPr>
          <w:rFonts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rPr>
        <w:t>份（一正本四副本），投标文件</w:t>
      </w:r>
      <w:r>
        <w:rPr>
          <w:rFonts w:ascii="宋体" w:hAnsi="宋体" w:cs="宋体"/>
          <w:b/>
          <w:bCs/>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b/>
          <w:bCs/>
          <w:color w:val="auto"/>
          <w:kern w:val="0"/>
          <w:sz w:val="24"/>
          <w:szCs w:val="24"/>
          <w:highlight w:val="none"/>
        </w:rPr>
        <w:t>的正本封面必须注明“正本”字样，副本可以采用正本的复印件。</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③投标文件封面，可参照附件内容。注明</w:t>
      </w:r>
      <w:r>
        <w:rPr>
          <w:rFonts w:ascii="宋体" w:hAnsi="宋体" w:cs="宋体"/>
          <w:color w:val="auto"/>
          <w:kern w:val="0"/>
          <w:sz w:val="24"/>
          <w:szCs w:val="24"/>
          <w:highlight w:val="none"/>
        </w:rPr>
        <w:t xml:space="preserve"> </w:t>
      </w:r>
      <w:r>
        <w:rPr>
          <w:color w:val="auto"/>
          <w:kern w:val="0"/>
          <w:sz w:val="24"/>
          <w:szCs w:val="24"/>
          <w:highlight w:val="none"/>
        </w:rPr>
        <w:t>“</w:t>
      </w:r>
      <w:r>
        <w:rPr>
          <w:rFonts w:hint="eastAsia" w:ascii="宋体" w:hAnsi="宋体" w:cs="宋体"/>
          <w:color w:val="auto"/>
          <w:kern w:val="0"/>
          <w:sz w:val="24"/>
          <w:szCs w:val="24"/>
          <w:highlight w:val="none"/>
        </w:rPr>
        <w:t>项目编号</w:t>
      </w:r>
      <w:r>
        <w:rPr>
          <w:color w:val="auto"/>
          <w:kern w:val="0"/>
          <w:sz w:val="24"/>
          <w:szCs w:val="24"/>
          <w:highlight w:val="none"/>
        </w:rPr>
        <w:t>”</w:t>
      </w:r>
      <w:r>
        <w:rPr>
          <w:rFonts w:hint="eastAsia" w:ascii="宋体" w:hAnsi="宋体" w:cs="宋体"/>
          <w:color w:val="auto"/>
          <w:kern w:val="0"/>
          <w:sz w:val="24"/>
          <w:szCs w:val="24"/>
          <w:highlight w:val="none"/>
        </w:rPr>
        <w:t>、</w:t>
      </w:r>
      <w:r>
        <w:rPr>
          <w:color w:val="auto"/>
          <w:kern w:val="0"/>
          <w:sz w:val="24"/>
          <w:szCs w:val="24"/>
          <w:highlight w:val="none"/>
        </w:rPr>
        <w:t>“</w:t>
      </w:r>
      <w:r>
        <w:rPr>
          <w:rFonts w:hint="eastAsia" w:ascii="宋体" w:hAnsi="宋体" w:cs="宋体"/>
          <w:color w:val="auto"/>
          <w:kern w:val="0"/>
          <w:sz w:val="24"/>
          <w:szCs w:val="24"/>
          <w:highlight w:val="none"/>
        </w:rPr>
        <w:t>项目名称”、</w:t>
      </w:r>
      <w:r>
        <w:rPr>
          <w:color w:val="auto"/>
          <w:kern w:val="0"/>
          <w:sz w:val="24"/>
          <w:szCs w:val="24"/>
          <w:highlight w:val="none"/>
        </w:rPr>
        <w:t>“</w:t>
      </w:r>
      <w:r>
        <w:rPr>
          <w:rFonts w:hint="eastAsia" w:ascii="宋体" w:hAnsi="宋体" w:cs="宋体"/>
          <w:color w:val="auto"/>
          <w:kern w:val="0"/>
          <w:sz w:val="24"/>
          <w:szCs w:val="24"/>
          <w:highlight w:val="none"/>
        </w:rPr>
        <w:t>正本</w:t>
      </w:r>
      <w:r>
        <w:rPr>
          <w:color w:val="auto"/>
          <w:kern w:val="0"/>
          <w:sz w:val="24"/>
          <w:szCs w:val="24"/>
          <w:highlight w:val="none"/>
        </w:rPr>
        <w:t>”</w:t>
      </w:r>
      <w:r>
        <w:rPr>
          <w:rFonts w:hint="eastAsia" w:ascii="宋体" w:hAnsi="宋体" w:cs="宋体"/>
          <w:color w:val="auto"/>
          <w:kern w:val="0"/>
          <w:sz w:val="24"/>
          <w:szCs w:val="24"/>
          <w:highlight w:val="none"/>
        </w:rPr>
        <w:t>或</w:t>
      </w:r>
      <w:r>
        <w:rPr>
          <w:color w:val="auto"/>
          <w:kern w:val="0"/>
          <w:sz w:val="24"/>
          <w:szCs w:val="24"/>
          <w:highlight w:val="none"/>
        </w:rPr>
        <w:t>“</w:t>
      </w:r>
      <w:r>
        <w:rPr>
          <w:rFonts w:hint="eastAsia" w:ascii="宋体" w:hAnsi="宋体" w:cs="宋体"/>
          <w:color w:val="auto"/>
          <w:kern w:val="0"/>
          <w:sz w:val="24"/>
          <w:szCs w:val="24"/>
          <w:highlight w:val="none"/>
        </w:rPr>
        <w:t>副本</w:t>
      </w:r>
      <w:r>
        <w:rPr>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“资格证明文件”或“商务与技术文件”或“报价文件”</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“投标人</w:t>
      </w:r>
      <w:r>
        <w:rPr>
          <w:color w:val="auto"/>
          <w:kern w:val="0"/>
          <w:sz w:val="24"/>
          <w:szCs w:val="24"/>
          <w:highlight w:val="none"/>
        </w:rPr>
        <w:t>”</w:t>
      </w:r>
      <w:r>
        <w:rPr>
          <w:rFonts w:hint="eastAsia" w:ascii="宋体" w:hAnsi="宋体" w:cs="宋体"/>
          <w:color w:val="auto"/>
          <w:kern w:val="0"/>
          <w:sz w:val="24"/>
          <w:szCs w:val="24"/>
          <w:highlight w:val="none"/>
        </w:rPr>
        <w:t>、“法定代表人或全权代表”等字样。</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④正本和副本内容有出入，以正本为准。</w:t>
      </w:r>
      <w:r>
        <w:rPr>
          <w:rFonts w:ascii="宋体" w:hAnsi="宋体" w:cs="宋体"/>
          <w:color w:val="auto"/>
          <w:kern w:val="0"/>
          <w:sz w:val="24"/>
          <w:szCs w:val="24"/>
          <w:highlight w:val="none"/>
        </w:rPr>
        <w:t xml:space="preserve"> </w:t>
      </w:r>
    </w:p>
    <w:p>
      <w:pPr>
        <w:widowControl/>
        <w:spacing w:line="360" w:lineRule="auto"/>
        <w:ind w:firstLine="240" w:firstLineChars="100"/>
        <w:jc w:val="left"/>
        <w:rPr>
          <w:color w:val="auto"/>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投标文件的签署、盖章</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投标文件封面和内部有要求盖章或签字的地方必须加盖投标人的公章以及法定代表人或全权代表（盖章或签字）。</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投标文件的外包装、密封</w:t>
      </w:r>
      <w:r>
        <w:rPr>
          <w:rFonts w:ascii="宋体" w:hAnsi="宋体" w:cs="宋体"/>
          <w:color w:val="auto"/>
          <w:kern w:val="0"/>
          <w:sz w:val="24"/>
          <w:szCs w:val="24"/>
          <w:highlight w:val="none"/>
        </w:rPr>
        <w:t xml:space="preserve"> </w:t>
      </w:r>
    </w:p>
    <w:p>
      <w:pPr>
        <w:widowControl/>
        <w:spacing w:line="360" w:lineRule="auto"/>
        <w:ind w:firstLine="241" w:firstLineChars="100"/>
        <w:jc w:val="left"/>
        <w:rPr>
          <w:color w:val="auto"/>
          <w:highlight w:val="none"/>
        </w:rPr>
      </w:pPr>
      <w:r>
        <w:rPr>
          <w:rFonts w:hint="eastAsia" w:ascii="宋体" w:hAnsi="宋体" w:cs="宋体"/>
          <w:b/>
          <w:bCs/>
          <w:color w:val="auto"/>
          <w:kern w:val="0"/>
          <w:sz w:val="24"/>
          <w:szCs w:val="24"/>
          <w:highlight w:val="none"/>
        </w:rPr>
        <w:t>▲①项目如分标项，各标项投标文件必须分开编制，并按上述份数要求单独密封包装。</w:t>
      </w:r>
      <w:r>
        <w:rPr>
          <w:rFonts w:ascii="宋体" w:hAnsi="宋体" w:cs="宋体"/>
          <w:b/>
          <w:bCs/>
          <w:color w:val="auto"/>
          <w:kern w:val="0"/>
          <w:sz w:val="24"/>
          <w:szCs w:val="24"/>
          <w:highlight w:val="none"/>
        </w:rPr>
        <w:t xml:space="preserve"> </w:t>
      </w:r>
    </w:p>
    <w:p>
      <w:pPr>
        <w:widowControl/>
        <w:spacing w:line="360" w:lineRule="auto"/>
        <w:ind w:firstLine="241" w:firstLineChars="100"/>
        <w:jc w:val="left"/>
        <w:rPr>
          <w:color w:val="auto"/>
          <w:highlight w:val="none"/>
        </w:rPr>
      </w:pPr>
      <w:r>
        <w:rPr>
          <w:rFonts w:hint="eastAsia" w:ascii="宋体" w:hAnsi="宋体" w:cs="宋体"/>
          <w:b/>
          <w:bCs/>
          <w:color w:val="auto"/>
          <w:kern w:val="0"/>
          <w:sz w:val="24"/>
          <w:szCs w:val="24"/>
          <w:highlight w:val="none"/>
        </w:rPr>
        <w:t>▲②“资格证明文件”、“商务与技术文件”、“报价文件”的外包装密封处须加盖投标人公章或投标全权代表签字。</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③外包装封面可参照附件内容注明“项目编号”、“</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项目名称”、“正本”或“副本”或“正副本”、“资格证明文件”或“商务与技术文件”或“报价文件”、“</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投标人名称”、“开标时启封”等字样。</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④未按规定密封或标记的投标文件将被拒绝，由此造成的风险由投标人自行承担。</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投标文件的递交</w:t>
      </w:r>
      <w:r>
        <w:rPr>
          <w:rFonts w:ascii="宋体" w:hAnsi="宋体" w:cs="宋体"/>
          <w:color w:val="auto"/>
          <w:kern w:val="0"/>
          <w:sz w:val="24"/>
          <w:szCs w:val="24"/>
          <w:highlight w:val="none"/>
        </w:rPr>
        <w:t xml:space="preserve"> </w:t>
      </w:r>
    </w:p>
    <w:p>
      <w:pPr>
        <w:widowControl/>
        <w:spacing w:line="360" w:lineRule="auto"/>
        <w:ind w:firstLine="240" w:firstLineChars="100"/>
        <w:jc w:val="left"/>
        <w:rPr>
          <w:color w:val="auto"/>
          <w:highlight w:val="none"/>
        </w:rPr>
      </w:pPr>
      <w:r>
        <w:rPr>
          <w:rFonts w:hint="eastAsia" w:ascii="宋体" w:hAnsi="宋体" w:cs="宋体"/>
          <w:color w:val="auto"/>
          <w:kern w:val="0"/>
          <w:sz w:val="24"/>
          <w:szCs w:val="24"/>
          <w:highlight w:val="none"/>
        </w:rPr>
        <w:t>▲①在投标文件提交截止时间前，投标人应按招标文件规定的时间和地点提交投标文件。投标文件提交截止时间后，招标人将拒收投标人的投标文件。</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②因密封不严、标记不明而造成过早启封、失密等情况，招标人概不负责。</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③逾期送达的或者未送达指定地点的或未同时满足本须知前附表要求的投标文件，招</w:t>
      </w:r>
    </w:p>
    <w:p>
      <w:pPr>
        <w:widowControl/>
        <w:spacing w:line="360" w:lineRule="auto"/>
        <w:jc w:val="left"/>
        <w:rPr>
          <w:color w:val="auto"/>
          <w:highlight w:val="none"/>
        </w:rPr>
      </w:pPr>
      <w:r>
        <w:rPr>
          <w:rFonts w:hint="eastAsia" w:ascii="宋体" w:hAnsi="宋体" w:cs="宋体"/>
          <w:color w:val="auto"/>
          <w:kern w:val="0"/>
          <w:sz w:val="24"/>
          <w:szCs w:val="24"/>
          <w:highlight w:val="none"/>
        </w:rPr>
        <w:t>标人不予受理。</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投标文件的修改或撤回</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①在提交投标文件截止时间前，投标人可对已提交的投标文件进行修改或撤回</w:t>
      </w:r>
      <w:r>
        <w:rPr>
          <w:rFonts w:ascii="宋体" w:cs="宋体"/>
          <w:color w:val="auto"/>
          <w:kern w:val="0"/>
          <w:sz w:val="24"/>
          <w:szCs w:val="24"/>
          <w:highlight w:val="none"/>
        </w:rPr>
        <w:t>,</w:t>
      </w:r>
      <w:r>
        <w:rPr>
          <w:rFonts w:hint="eastAsia" w:ascii="宋体" w:hAnsi="宋体" w:cs="宋体"/>
          <w:color w:val="auto"/>
          <w:kern w:val="0"/>
          <w:sz w:val="24"/>
          <w:szCs w:val="24"/>
          <w:highlight w:val="none"/>
        </w:rPr>
        <w:t>修改</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或撤回应以书面形式通知招标代理机构。</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②修改后重新提交的投标文件应按招标文件的规定编制、密封、标记和提交。</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③在投标文件提交截止时间后</w:t>
      </w:r>
      <w:r>
        <w:rPr>
          <w:rFonts w:ascii="宋体" w:cs="宋体"/>
          <w:color w:val="auto"/>
          <w:kern w:val="0"/>
          <w:sz w:val="24"/>
          <w:szCs w:val="24"/>
          <w:highlight w:val="none"/>
        </w:rPr>
        <w:t>,</w:t>
      </w:r>
      <w:r>
        <w:rPr>
          <w:rFonts w:hint="eastAsia" w:ascii="宋体" w:hAnsi="宋体" w:cs="宋体"/>
          <w:color w:val="auto"/>
          <w:kern w:val="0"/>
          <w:sz w:val="24"/>
          <w:szCs w:val="24"/>
          <w:highlight w:val="none"/>
        </w:rPr>
        <w:t>投标人不得修改或撤回已提交的投标文件。</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④投标文件不得涂改，若有修改错漏处，须加盖投标人公章。投标文件因字迹模糊或</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表达不清引起的后果由投标人负责。</w:t>
      </w:r>
      <w:r>
        <w:rPr>
          <w:rFonts w:ascii="宋体" w:hAnsi="宋体" w:cs="宋体"/>
          <w:color w:val="auto"/>
          <w:kern w:val="0"/>
          <w:sz w:val="24"/>
          <w:szCs w:val="24"/>
          <w:highlight w:val="none"/>
        </w:rPr>
        <w:t xml:space="preserve"> </w:t>
      </w:r>
    </w:p>
    <w:p>
      <w:pPr>
        <w:numPr>
          <w:ilvl w:val="0"/>
          <w:numId w:val="10"/>
        </w:numPr>
        <w:spacing w:line="360" w:lineRule="auto"/>
        <w:rPr>
          <w:rFonts w:ascii="宋体"/>
          <w:b/>
          <w:bCs/>
          <w:color w:val="auto"/>
          <w:kern w:val="0"/>
          <w:sz w:val="24"/>
          <w:szCs w:val="24"/>
          <w:highlight w:val="none"/>
        </w:rPr>
      </w:pPr>
      <w:r>
        <w:rPr>
          <w:rFonts w:hint="eastAsia" w:ascii="宋体" w:hAnsi="宋体" w:cs="宋体"/>
          <w:b/>
          <w:bCs/>
          <w:color w:val="auto"/>
          <w:kern w:val="0"/>
          <w:sz w:val="24"/>
          <w:szCs w:val="24"/>
          <w:highlight w:val="none"/>
        </w:rPr>
        <w:t>投标文件的有效期</w:t>
      </w:r>
    </w:p>
    <w:p>
      <w:pPr>
        <w:pStyle w:val="10"/>
        <w:tabs>
          <w:tab w:val="left" w:pos="454"/>
          <w:tab w:val="left" w:pos="720"/>
          <w:tab w:val="left" w:pos="1200"/>
        </w:tabs>
        <w:snapToGrid w:val="0"/>
        <w:spacing w:line="360" w:lineRule="auto"/>
        <w:ind w:left="0" w:firstLine="480" w:firstLineChars="200"/>
        <w:rPr>
          <w:rFonts w:ascii="??_GB2312" w:hAnsi="??_GB2312" w:cs="??_GB2312"/>
          <w:color w:val="auto"/>
          <w:sz w:val="24"/>
          <w:szCs w:val="24"/>
          <w:highlight w:val="none"/>
          <w:lang w:val="en-GB"/>
        </w:rPr>
      </w:pP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pPr>
        <w:pStyle w:val="10"/>
        <w:tabs>
          <w:tab w:val="left" w:pos="454"/>
          <w:tab w:val="left" w:pos="720"/>
          <w:tab w:val="left" w:pos="1200"/>
        </w:tabs>
        <w:snapToGrid w:val="0"/>
        <w:spacing w:line="360" w:lineRule="auto"/>
        <w:ind w:left="0"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pPr>
        <w:pStyle w:val="10"/>
        <w:tabs>
          <w:tab w:val="left" w:pos="454"/>
          <w:tab w:val="left" w:pos="720"/>
          <w:tab w:val="left" w:pos="1200"/>
        </w:tabs>
        <w:snapToGrid w:val="0"/>
        <w:spacing w:line="360" w:lineRule="auto"/>
        <w:ind w:left="0"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投标人可拒绝接受延期要求而不会导致投标保证金被没收。同意延长有效期的投标</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人需要相应延长投标保证金的有效期，但不能修改投标文件。</w:t>
      </w:r>
    </w:p>
    <w:p>
      <w:pPr>
        <w:pStyle w:val="10"/>
        <w:tabs>
          <w:tab w:val="left" w:pos="454"/>
          <w:tab w:val="left" w:pos="720"/>
          <w:tab w:val="left" w:pos="1200"/>
        </w:tabs>
        <w:snapToGrid w:val="0"/>
        <w:spacing w:line="360" w:lineRule="auto"/>
        <w:ind w:left="0"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中标人的投标文件自开标之日起至合同履行完毕均应保持有效。</w:t>
      </w:r>
    </w:p>
    <w:p>
      <w:pPr>
        <w:pStyle w:val="9"/>
        <w:spacing w:before="22" w:line="360" w:lineRule="auto"/>
        <w:rPr>
          <w:color w:val="auto"/>
          <w:highlight w:val="none"/>
        </w:rPr>
      </w:pPr>
      <w:r>
        <w:rPr>
          <w:color w:val="auto"/>
          <w:highlight w:val="none"/>
        </w:rPr>
        <w:t xml:space="preserve">四、 </w:t>
      </w:r>
      <w:r>
        <w:rPr>
          <w:rFonts w:hint="eastAsia"/>
          <w:color w:val="auto"/>
          <w:highlight w:val="none"/>
        </w:rPr>
        <w:t>开标</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1.招标代理机构将在“招标公告”规定的时间和地点进行开标，开标会由招标代理机构工作人员主持，所有投标人均应准时参加开标会。投标截止时间前各投标人的法定代表人（或营业执照中明确的负责人）或其全权代表应出具身份证原件，若为全权代表参加的还须提供《授权委托书》原件（格式参照相关附件内容）。授权委托书另随身携带1份。投标人的法定代表人（或营业执照中明确的负责人）或其全权代表未参加开标会议或迟到的，事后不得对采购相关人员、项目开标过程和评标结果提出异议。评标委员会成员不得参加开标活动。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2. 本次开标采用先拆封、评审资格证明文件和商务与技术文件，待商务与技术文件评审结束后拆封、评审报价文件的方式进行。</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3. 核验出席开标活动现场的各投标人代表及相关单位人员身份，并组织其分别登记、 签到，无关人员可拒绝其进入现场。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4.招标代理机构工作人员接收投标文件并登记，并由供应商代表对递交记录情况进行 签字确认。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5.主持人宣布开标，介绍开标现场的人员情况，宣读提交投标文件的投标人名单、开标纪律、应当回避的情形等注意事项。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6.对投标保证金缴纳情况进行查验、核实，提请投标人或者其推选的代表检查投标文件密封情况。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7. 按投标人提交投标文件的先后顺序当众拆封、清点资格证明文件以及商务与技术 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8.开标结束后，评标委员会依法对投标人的资格进行审查。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9.商务与技术文件评审结束后，主持人宣告商务与技术文件评审无效投标人名称及理由；公布经商务与技术文件评审符合采购需求的投标人名单以及商务与技术文件得分情况。</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10.按投标人提交投标文件的先后顺序当众拆封、清点报价文件（包括正本、副本）数量，宣读开标一览表中的投标报价。当场制作并打印开标记录表，由投标人代表、唱标人、记录人和现场监督员在开标记录表上签字确认（投标人代表未到场或拒绝签字确认的，不影响评标过程）。唱标结束后，现场工作人员将报价文件及开标记录表护送至指定评审地点，由评标委员会对报价的合理性、准确性等进行审查核实。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11. 主持人公布投标报价得分、综合得分以及中标候选人排序名单。 </w:t>
      </w:r>
    </w:p>
    <w:p>
      <w:pPr>
        <w:pStyle w:val="15"/>
        <w:autoSpaceDE/>
        <w:autoSpaceDN/>
        <w:snapToGrid w:val="0"/>
        <w:spacing w:line="360" w:lineRule="auto"/>
        <w:ind w:firstLine="480" w:firstLineChars="200"/>
        <w:outlineLvl w:val="1"/>
        <w:rPr>
          <w:rFonts w:hint="default"/>
          <w:color w:val="auto"/>
          <w:sz w:val="29"/>
          <w:highlight w:val="none"/>
        </w:rPr>
      </w:pPr>
      <w:r>
        <w:rPr>
          <w:rFonts w:hAnsi="宋体" w:cs="宋体"/>
          <w:color w:val="auto"/>
          <w:kern w:val="0"/>
          <w:sz w:val="24"/>
          <w:szCs w:val="24"/>
          <w:highlight w:val="none"/>
        </w:rPr>
        <w:t>12.开标会议结束</w:t>
      </w:r>
    </w:p>
    <w:p>
      <w:pPr>
        <w:pStyle w:val="15"/>
        <w:snapToGrid w:val="0"/>
        <w:spacing w:line="360" w:lineRule="auto"/>
        <w:outlineLvl w:val="1"/>
        <w:rPr>
          <w:rFonts w:hint="default" w:hAnsi="宋体"/>
          <w:b/>
          <w:bCs/>
          <w:color w:val="auto"/>
          <w:sz w:val="24"/>
          <w:szCs w:val="24"/>
          <w:highlight w:val="none"/>
        </w:rPr>
      </w:pPr>
      <w:r>
        <w:rPr>
          <w:rFonts w:hAnsi="宋体"/>
          <w:b/>
          <w:bCs/>
          <w:color w:val="auto"/>
          <w:sz w:val="24"/>
          <w:szCs w:val="24"/>
          <w:highlight w:val="none"/>
          <w:lang w:val="en-US"/>
        </w:rPr>
        <w:t>五</w:t>
      </w:r>
      <w:r>
        <w:rPr>
          <w:rFonts w:hAnsi="宋体"/>
          <w:b/>
          <w:bCs/>
          <w:color w:val="auto"/>
          <w:sz w:val="24"/>
          <w:szCs w:val="24"/>
          <w:highlight w:val="none"/>
        </w:rPr>
        <w:t>、评标</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评标工作由按有关规定组建的评标委员会负责。评标委员会由招标人熟悉相关业务的代表，以及有关技术、经济等方面的专家组成。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（一）组织评标程序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招标代理机构将按照招标文件规定的时间、地点和程序组织评标，各评审专家及相关人员应参加评审活动并接受核验、签到，无关人员不得进入评审现场。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1、核验出席评审活动现场的评标委员会各成员和相关监督人员身份，并要求其登记、签到，按规定统一收缴、保存其通讯工具，无关人员一律拒绝其进入评审现场。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2、介绍评审现场的人员情况，宣布评审工作纪律，告知评审人员应当回避情形；组织推选评标委员会组长。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3、宣读提交投标文件的供应商名单。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5、评标委员会组长组织评审人员独立评审。评标委员会对拟认定为投标文件无效，应组织相关供应商代表进行陈述、澄清或申辩；招标代理机构可协助评标委员会组长对打分结果进行校对、核对。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6、做好评审现场相关记录，协助评标委员会组长做好评审报告起草、有关内容电脑文字录入等工作，并要求评标委员会各成员签字确认。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7、评审结束后，招标代理机构应对评标委员会各成员的专业水平、职业道德、遵纪守法等情况进行评价；同时按规定向评审专家发放评审费，并交还评审人员及其他现场相关人员的通讯工具。 </w:t>
      </w:r>
    </w:p>
    <w:p>
      <w:pPr>
        <w:widowControl/>
        <w:autoSpaceDE/>
        <w:autoSpaceDN/>
        <w:spacing w:line="360" w:lineRule="auto"/>
        <w:ind w:firstLine="482" w:firstLineChars="200"/>
        <w:rPr>
          <w:color w:val="auto"/>
          <w:highlight w:val="none"/>
        </w:rPr>
      </w:pPr>
      <w:r>
        <w:rPr>
          <w:rFonts w:hint="eastAsia"/>
          <w:b/>
          <w:color w:val="auto"/>
          <w:sz w:val="24"/>
          <w:szCs w:val="24"/>
          <w:highlight w:val="none"/>
          <w:lang w:val="en-US"/>
        </w:rPr>
        <w:t xml:space="preserve">（二）评标委员会评审程序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1、在评审专家中推选评标委员会组长，优先推选资深专家为组长。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3、评审人员对各投标人投标文件的有效性、完整性和响应程度进行审查，确定是否对招标文件作出实质性响应。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4、评审人员按招标文件规定的评审方法和评审标准，依法独立对各投标人投标文件进行评估、比较，并给予评价或打分，不受任何单位和个人的干预。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7、评审人员需对招标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8、评标委员会根据评审汇总情况和招标文件规定确定中标候选人排序名单。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9、起草评审报告，所有评审人员须在评审报告上签字确认。</w:t>
      </w:r>
    </w:p>
    <w:p>
      <w:pPr>
        <w:autoSpaceDE/>
        <w:autoSpaceDN/>
        <w:snapToGrid w:val="0"/>
        <w:spacing w:line="360" w:lineRule="auto"/>
        <w:ind w:firstLine="482" w:firstLineChars="200"/>
        <w:rPr>
          <w:color w:val="auto"/>
          <w:sz w:val="24"/>
          <w:szCs w:val="24"/>
          <w:highlight w:val="none"/>
        </w:rPr>
      </w:pPr>
      <w:r>
        <w:rPr>
          <w:rFonts w:hint="eastAsia"/>
          <w:b/>
          <w:bCs/>
          <w:color w:val="auto"/>
          <w:sz w:val="24"/>
          <w:szCs w:val="24"/>
          <w:highlight w:val="none"/>
        </w:rPr>
        <w:t>（三）无效标和废标</w:t>
      </w:r>
    </w:p>
    <w:p>
      <w:pPr>
        <w:pStyle w:val="21"/>
        <w:autoSpaceDE/>
        <w:autoSpaceDN/>
        <w:spacing w:before="0" w:beforeAutospacing="0" w:after="0" w:afterAutospacing="0" w:line="360" w:lineRule="auto"/>
        <w:ind w:firstLine="361" w:firstLineChars="150"/>
        <w:jc w:val="both"/>
        <w:rPr>
          <w:rFonts w:hint="default" w:cs="Times New Roman"/>
          <w:b/>
          <w:bCs/>
          <w:color w:val="auto"/>
          <w:highlight w:val="none"/>
        </w:rPr>
      </w:pPr>
      <w:r>
        <w:rPr>
          <w:b/>
          <w:bCs/>
          <w:color w:val="auto"/>
          <w:highlight w:val="none"/>
          <w:lang w:val="en-US"/>
        </w:rPr>
        <w:t>1、</w:t>
      </w:r>
      <w:r>
        <w:rPr>
          <w:b/>
          <w:bCs/>
          <w:color w:val="auto"/>
          <w:highlight w:val="none"/>
        </w:rPr>
        <w:t>投标人存在下列情况之一的，投标无效</w:t>
      </w:r>
    </w:p>
    <w:p>
      <w:pPr>
        <w:autoSpaceDE/>
        <w:autoSpaceDN/>
        <w:adjustRightInd w:val="0"/>
        <w:snapToGrid w:val="0"/>
        <w:spacing w:line="360" w:lineRule="auto"/>
        <w:ind w:firstLine="420" w:firstLineChars="200"/>
        <w:rPr>
          <w:b/>
          <w:bCs/>
          <w:color w:val="auto"/>
          <w:sz w:val="24"/>
          <w:szCs w:val="24"/>
          <w:highlight w:val="none"/>
        </w:rPr>
      </w:pPr>
      <w:r>
        <w:rPr>
          <w:rFonts w:hint="eastAsia"/>
          <w:color w:val="auto"/>
          <w:highlight w:val="none"/>
          <w:lang w:val="en-US"/>
        </w:rPr>
        <w:t>（1）</w:t>
      </w:r>
      <w:r>
        <w:rPr>
          <w:rFonts w:hint="eastAsia"/>
          <w:color w:val="auto"/>
          <w:sz w:val="24"/>
          <w:szCs w:val="24"/>
          <w:highlight w:val="none"/>
        </w:rPr>
        <w:t>、未按照招标文件的规定提交投标保证金的；</w:t>
      </w:r>
    </w:p>
    <w:p>
      <w:pPr>
        <w:pStyle w:val="21"/>
        <w:tabs>
          <w:tab w:val="left" w:pos="7380"/>
        </w:tabs>
        <w:adjustRightInd w:val="0"/>
        <w:snapToGrid w:val="0"/>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2</w:t>
      </w:r>
      <w:r>
        <w:rPr>
          <w:color w:val="auto"/>
          <w:highlight w:val="none"/>
        </w:rPr>
        <w:t>）、投标文件未按招标文件要求签署、盖章的；</w:t>
      </w:r>
      <w:r>
        <w:rPr>
          <w:rFonts w:cs="Times New Roman"/>
          <w:color w:val="auto"/>
          <w:highlight w:val="none"/>
        </w:rPr>
        <w:tab/>
      </w:r>
    </w:p>
    <w:p>
      <w:pPr>
        <w:pStyle w:val="21"/>
        <w:adjustRightInd w:val="0"/>
        <w:snapToGrid w:val="0"/>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3</w:t>
      </w:r>
      <w:r>
        <w:rPr>
          <w:color w:val="auto"/>
          <w:highlight w:val="none"/>
        </w:rPr>
        <w:t>）、不具备招标文件中规定资格要求的；</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）、报价超过招标文件中规定的预算金额或者最高限价的；</w:t>
      </w:r>
    </w:p>
    <w:p>
      <w:pPr>
        <w:pStyle w:val="21"/>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w:t>
      </w:r>
      <w:r>
        <w:rPr>
          <w:color w:val="auto"/>
          <w:highlight w:val="none"/>
          <w:lang w:val="en-US"/>
        </w:rPr>
        <w:t>5</w:t>
      </w:r>
      <w:r>
        <w:rPr>
          <w:color w:val="auto"/>
          <w:highlight w:val="none"/>
        </w:rPr>
        <w:t>）、未实质性响应招标文件的（特别是打“▲”条款）或者投标文件含有招标人不能接受的附加条件的；</w:t>
      </w:r>
    </w:p>
    <w:p>
      <w:pPr>
        <w:pStyle w:val="21"/>
        <w:adjustRightInd w:val="0"/>
        <w:snapToGrid w:val="0"/>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6</w:t>
      </w:r>
      <w:r>
        <w:rPr>
          <w:color w:val="auto"/>
          <w:highlight w:val="none"/>
        </w:rPr>
        <w:t>）、投标文件实质性内容填写不全或模糊不清，无法辨认的；</w:t>
      </w:r>
    </w:p>
    <w:p>
      <w:pPr>
        <w:tabs>
          <w:tab w:val="left" w:pos="1898"/>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7</w:t>
      </w:r>
      <w:r>
        <w:rPr>
          <w:rFonts w:hint="eastAsia"/>
          <w:color w:val="auto"/>
          <w:sz w:val="24"/>
          <w:szCs w:val="24"/>
          <w:highlight w:val="none"/>
        </w:rPr>
        <w:t>）、投标技术方案不明确，存在一个或一个以及备选（替代）投标方案的；</w:t>
      </w:r>
    </w:p>
    <w:p>
      <w:pPr>
        <w:tabs>
          <w:tab w:val="left" w:pos="1898"/>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8</w:t>
      </w:r>
      <w:r>
        <w:rPr>
          <w:rFonts w:hint="eastAsia"/>
          <w:color w:val="auto"/>
          <w:sz w:val="24"/>
          <w:szCs w:val="24"/>
          <w:highlight w:val="none"/>
        </w:rPr>
        <w:t>）、投标有效期、工期、质保期、付款方式等条款不能满足招标文件要求的；</w:t>
      </w:r>
    </w:p>
    <w:p>
      <w:pPr>
        <w:tabs>
          <w:tab w:val="left" w:pos="1898"/>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9</w:t>
      </w:r>
      <w:r>
        <w:rPr>
          <w:rFonts w:hint="eastAsia"/>
          <w:color w:val="auto"/>
          <w:sz w:val="24"/>
          <w:szCs w:val="24"/>
          <w:highlight w:val="none"/>
        </w:rPr>
        <w:t>）、法律、法规和招标文件规定的其他无效情形。</w:t>
      </w:r>
    </w:p>
    <w:p>
      <w:pPr>
        <w:adjustRightInd w:val="0"/>
        <w:spacing w:line="360" w:lineRule="auto"/>
        <w:ind w:firstLine="482" w:firstLineChars="200"/>
        <w:rPr>
          <w:color w:val="auto"/>
          <w:sz w:val="24"/>
          <w:szCs w:val="24"/>
          <w:highlight w:val="none"/>
        </w:rPr>
      </w:pPr>
      <w:r>
        <w:rPr>
          <w:rFonts w:hint="eastAsia"/>
          <w:b/>
          <w:bCs/>
          <w:color w:val="auto"/>
          <w:sz w:val="24"/>
          <w:szCs w:val="24"/>
          <w:highlight w:val="none"/>
          <w:lang w:val="en-US"/>
        </w:rPr>
        <w:t>2、</w:t>
      </w:r>
      <w:r>
        <w:rPr>
          <w:rFonts w:hint="eastAsia"/>
          <w:b/>
          <w:bCs/>
          <w:color w:val="auto"/>
          <w:sz w:val="24"/>
          <w:szCs w:val="24"/>
          <w:highlight w:val="none"/>
        </w:rPr>
        <w:t>有下列情况之一的，本次招标作为废标处理</w:t>
      </w:r>
    </w:p>
    <w:p>
      <w:pPr>
        <w:pStyle w:val="21"/>
        <w:autoSpaceDE/>
        <w:autoSpaceDN/>
        <w:spacing w:before="0" w:beforeAutospacing="0" w:after="0" w:afterAutospacing="0" w:line="360" w:lineRule="auto"/>
        <w:ind w:firstLine="480" w:firstLineChars="200"/>
        <w:jc w:val="both"/>
        <w:rPr>
          <w:rFonts w:hint="default" w:cs="Times New Roman"/>
          <w:color w:val="auto"/>
          <w:highlight w:val="none"/>
        </w:rPr>
      </w:pPr>
      <w:r>
        <w:rPr>
          <w:color w:val="auto"/>
          <w:highlight w:val="none"/>
          <w:lang w:val="en-US"/>
        </w:rPr>
        <w:t>（1）</w:t>
      </w:r>
      <w:r>
        <w:rPr>
          <w:color w:val="auto"/>
          <w:highlight w:val="none"/>
        </w:rPr>
        <w:t>、出现影响采购公正的违法、违规行为的；</w:t>
      </w:r>
    </w:p>
    <w:p>
      <w:pPr>
        <w:pStyle w:val="21"/>
        <w:autoSpaceDE/>
        <w:autoSpaceDN/>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2</w:t>
      </w:r>
      <w:r>
        <w:rPr>
          <w:color w:val="auto"/>
          <w:highlight w:val="none"/>
        </w:rPr>
        <w:t>）、因重大变故，采购任务取消的；</w:t>
      </w:r>
    </w:p>
    <w:p>
      <w:pPr>
        <w:pStyle w:val="21"/>
        <w:autoSpaceDE/>
        <w:autoSpaceDN/>
        <w:spacing w:before="0" w:beforeAutospacing="0" w:after="0" w:afterAutospacing="0" w:line="360" w:lineRule="auto"/>
        <w:ind w:firstLine="480" w:firstLineChars="200"/>
        <w:jc w:val="both"/>
        <w:rPr>
          <w:rFonts w:hint="default" w:cs="Times New Roman"/>
          <w:b/>
          <w:bCs/>
          <w:color w:val="auto"/>
          <w:highlight w:val="none"/>
        </w:rPr>
      </w:pPr>
      <w:r>
        <w:rPr>
          <w:color w:val="auto"/>
          <w:highlight w:val="none"/>
        </w:rPr>
        <w:t>（</w:t>
      </w:r>
      <w:r>
        <w:rPr>
          <w:color w:val="auto"/>
          <w:highlight w:val="none"/>
          <w:lang w:val="en-US"/>
        </w:rPr>
        <w:t>3</w:t>
      </w:r>
      <w:r>
        <w:rPr>
          <w:color w:val="auto"/>
          <w:highlight w:val="none"/>
        </w:rPr>
        <w:t xml:space="preserve">）、评标委员会发现招标文件存在歧义、重大缺陷导致评标工作无法进行，或者招标文件内容违反国家有关强制性规定的； </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lang w:val="en-US"/>
        </w:rPr>
        <w:t>（4）</w:t>
      </w:r>
      <w:r>
        <w:rPr>
          <w:color w:val="auto"/>
          <w:highlight w:val="none"/>
        </w:rPr>
        <w:t>、法律、法规和招标文件规定的其他导致评标结果无效的。</w:t>
      </w:r>
    </w:p>
    <w:p>
      <w:pPr>
        <w:pStyle w:val="15"/>
        <w:snapToGrid w:val="0"/>
        <w:spacing w:line="360" w:lineRule="auto"/>
        <w:ind w:left="720" w:leftChars="228" w:hanging="241" w:hangingChars="100"/>
        <w:rPr>
          <w:rFonts w:hint="default" w:hAnsi="宋体"/>
          <w:b/>
          <w:bCs/>
          <w:color w:val="auto"/>
          <w:sz w:val="24"/>
          <w:szCs w:val="24"/>
          <w:highlight w:val="none"/>
        </w:rPr>
      </w:pPr>
      <w:r>
        <w:rPr>
          <w:rFonts w:hAnsi="宋体"/>
          <w:b/>
          <w:bCs/>
          <w:color w:val="auto"/>
          <w:sz w:val="24"/>
          <w:szCs w:val="24"/>
          <w:highlight w:val="none"/>
        </w:rPr>
        <w:t>（四）错误修正</w:t>
      </w:r>
    </w:p>
    <w:p>
      <w:pPr>
        <w:pStyle w:val="21"/>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投标文件报价出现前后不一致的，除招标文件另有规定外，按照下列规定修正：</w:t>
      </w:r>
    </w:p>
    <w:p>
      <w:pPr>
        <w:pStyle w:val="21"/>
        <w:spacing w:before="0" w:beforeAutospacing="0" w:after="0" w:afterAutospacing="0" w:line="360" w:lineRule="auto"/>
        <w:jc w:val="both"/>
        <w:rPr>
          <w:rFonts w:hint="default" w:cs="Times New Roman"/>
          <w:color w:val="auto"/>
          <w:highlight w:val="none"/>
        </w:rPr>
      </w:pPr>
      <w:r>
        <w:rPr>
          <w:color w:val="auto"/>
          <w:highlight w:val="none"/>
        </w:rPr>
        <w:t>　　1、投标文件中开标一览表（报价表）内容与投标文件中相应内容不一致的，以开标一览表（报价表）为准；</w:t>
      </w:r>
    </w:p>
    <w:p>
      <w:pPr>
        <w:pStyle w:val="21"/>
        <w:spacing w:before="0" w:beforeAutospacing="0" w:after="0" w:afterAutospacing="0" w:line="360" w:lineRule="auto"/>
        <w:jc w:val="both"/>
        <w:rPr>
          <w:rFonts w:hint="default" w:cs="Times New Roman"/>
          <w:color w:val="auto"/>
          <w:highlight w:val="none"/>
        </w:rPr>
      </w:pPr>
      <w:r>
        <w:rPr>
          <w:color w:val="auto"/>
          <w:highlight w:val="none"/>
        </w:rPr>
        <w:t>　　2、大写金额和小写金额不一致的，以大写金额为准；</w:t>
      </w:r>
    </w:p>
    <w:p>
      <w:pPr>
        <w:pStyle w:val="21"/>
        <w:spacing w:before="0" w:beforeAutospacing="0" w:after="0" w:afterAutospacing="0" w:line="360" w:lineRule="auto"/>
        <w:jc w:val="both"/>
        <w:rPr>
          <w:rFonts w:hint="default" w:cs="Times New Roman"/>
          <w:color w:val="auto"/>
          <w:highlight w:val="none"/>
        </w:rPr>
      </w:pPr>
      <w:r>
        <w:rPr>
          <w:color w:val="auto"/>
          <w:highlight w:val="none"/>
        </w:rPr>
        <w:t>　　3、单价金额小数点或者百分比有明显错位的，以开标一览表的总价为准，并修改单价；</w:t>
      </w:r>
    </w:p>
    <w:p>
      <w:pPr>
        <w:pStyle w:val="21"/>
        <w:spacing w:before="0" w:beforeAutospacing="0" w:after="0" w:afterAutospacing="0" w:line="360" w:lineRule="auto"/>
        <w:jc w:val="both"/>
        <w:rPr>
          <w:rFonts w:hint="default" w:cs="Times New Roman"/>
          <w:color w:val="auto"/>
          <w:highlight w:val="none"/>
        </w:rPr>
      </w:pPr>
      <w:r>
        <w:rPr>
          <w:color w:val="auto"/>
          <w:highlight w:val="none"/>
        </w:rPr>
        <w:t>　　4、总价金额与按单价汇总金额不一致的，以单价金额计算结果为准。</w:t>
      </w:r>
    </w:p>
    <w:p>
      <w:pPr>
        <w:pStyle w:val="21"/>
        <w:spacing w:before="0" w:beforeAutospacing="0" w:after="0" w:afterAutospacing="0" w:line="360" w:lineRule="auto"/>
        <w:jc w:val="both"/>
        <w:rPr>
          <w:rFonts w:hint="default" w:cs="Times New Roman"/>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tabs>
          <w:tab w:val="left" w:pos="630"/>
        </w:tabs>
        <w:snapToGrid w:val="0"/>
        <w:spacing w:line="360" w:lineRule="auto"/>
        <w:ind w:firstLine="472" w:firstLineChars="196"/>
        <w:rPr>
          <w:rFonts w:hint="default" w:hAnsi="宋体"/>
          <w:b/>
          <w:bCs/>
          <w:color w:val="auto"/>
          <w:sz w:val="24"/>
          <w:szCs w:val="24"/>
          <w:highlight w:val="none"/>
        </w:rPr>
      </w:pPr>
      <w:r>
        <w:rPr>
          <w:rFonts w:hAnsi="宋体"/>
          <w:b/>
          <w:bCs/>
          <w:color w:val="auto"/>
          <w:sz w:val="24"/>
          <w:szCs w:val="24"/>
          <w:highlight w:val="none"/>
        </w:rPr>
        <w:t>（五）评标原则和评标办法</w:t>
      </w:r>
    </w:p>
    <w:p>
      <w:pPr>
        <w:pStyle w:val="15"/>
        <w:snapToGrid w:val="0"/>
        <w:spacing w:line="360" w:lineRule="auto"/>
        <w:ind w:firstLine="600" w:firstLineChars="250"/>
        <w:rPr>
          <w:rFonts w:hint="default" w:hAnsi="宋体"/>
          <w:color w:val="auto"/>
          <w:sz w:val="24"/>
          <w:szCs w:val="24"/>
          <w:highlight w:val="none"/>
        </w:rPr>
      </w:pPr>
      <w:r>
        <w:rPr>
          <w:rFonts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600" w:firstLineChars="250"/>
        <w:rPr>
          <w:rFonts w:hint="default" w:hAnsi="宋体"/>
          <w:color w:val="auto"/>
          <w:sz w:val="24"/>
          <w:szCs w:val="24"/>
          <w:highlight w:val="none"/>
        </w:rPr>
      </w:pPr>
      <w:r>
        <w:rPr>
          <w:rFonts w:hAnsi="宋体"/>
          <w:color w:val="auto"/>
          <w:sz w:val="24"/>
          <w:szCs w:val="24"/>
          <w:highlight w:val="none"/>
        </w:rPr>
        <w:t>2、评标办法。具体评标内容及评分标准等详见《第三章：评标方法及评分标准》。</w:t>
      </w:r>
    </w:p>
    <w:p>
      <w:pPr>
        <w:pStyle w:val="15"/>
        <w:snapToGrid w:val="0"/>
        <w:spacing w:line="360" w:lineRule="auto"/>
        <w:ind w:firstLine="472" w:firstLineChars="196"/>
        <w:rPr>
          <w:rFonts w:hint="default" w:hAnsi="宋体"/>
          <w:b/>
          <w:bCs/>
          <w:color w:val="auto"/>
          <w:sz w:val="24"/>
          <w:szCs w:val="24"/>
          <w:highlight w:val="none"/>
        </w:rPr>
      </w:pPr>
      <w:r>
        <w:rPr>
          <w:rFonts w:hAnsi="宋体"/>
          <w:b/>
          <w:bCs/>
          <w:color w:val="auto"/>
          <w:sz w:val="24"/>
          <w:szCs w:val="24"/>
          <w:highlight w:val="none"/>
        </w:rPr>
        <w:t>（六）评标过程的监控</w:t>
      </w:r>
    </w:p>
    <w:p>
      <w:pPr>
        <w:pStyle w:val="21"/>
        <w:spacing w:before="0" w:beforeAutospacing="0" w:after="0" w:afterAutospacing="0" w:line="360" w:lineRule="auto"/>
        <w:ind w:firstLine="360" w:firstLineChars="150"/>
        <w:jc w:val="both"/>
        <w:rPr>
          <w:rFonts w:hint="default"/>
          <w:color w:val="auto"/>
          <w:highlight w:val="none"/>
        </w:rPr>
      </w:pPr>
      <w:r>
        <w:rPr>
          <w:color w:val="auto"/>
          <w:highlight w:val="none"/>
        </w:rPr>
        <w:t xml:space="preserve">1.本项目评标过程实行全程录音、录像监控，投标人在评标过程中所进行的试图影响评标结果的不公正活动，可能导致其投标被拒绝。 </w:t>
      </w:r>
    </w:p>
    <w:p>
      <w:pPr>
        <w:pStyle w:val="21"/>
        <w:spacing w:before="0" w:beforeAutospacing="0" w:after="0" w:afterAutospacing="0" w:line="360" w:lineRule="auto"/>
        <w:ind w:firstLine="360" w:firstLineChars="150"/>
        <w:jc w:val="both"/>
        <w:rPr>
          <w:rFonts w:hint="default"/>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21"/>
        <w:spacing w:before="0" w:beforeAutospacing="0" w:after="0" w:afterAutospacing="0" w:line="360" w:lineRule="auto"/>
        <w:ind w:firstLine="361" w:firstLineChars="150"/>
        <w:jc w:val="both"/>
        <w:rPr>
          <w:rFonts w:hint="default" w:cs="Times New Roman"/>
          <w:b/>
          <w:bCs/>
          <w:color w:val="auto"/>
          <w:highlight w:val="none"/>
        </w:rPr>
      </w:pPr>
      <w:r>
        <w:rPr>
          <w:b/>
          <w:bCs/>
          <w:color w:val="auto"/>
          <w:highlight w:val="none"/>
          <w:lang w:val="en-US"/>
        </w:rPr>
        <w:t>六</w:t>
      </w:r>
      <w:r>
        <w:rPr>
          <w:b/>
          <w:bCs/>
          <w:color w:val="auto"/>
          <w:highlight w:val="none"/>
        </w:rPr>
        <w:t>、定标</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1.招标人根据评标结果，中标候选人应当在三门县公共资源交易中心网站接受公示。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2.招标人应当确定中标候选人为中标人。中标候选人放弃中标，或者因不可抗力或者 自身原因不能履行采购合同的，或者因其他情形造成其资格无效的，则本次投标失败，重新组织招标。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3.招标人向中标人发出中标通知书，同时将中标结果在三门县公共资源交易中心网站 上发布，不再另行书面通知未中标的投标人。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4.中标通知书对招标人和中标人具有法律约束力。中标通知书发出后，招标人改变中标结果或者中标人放弃中标的，应当承担法律责任。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5.中标通知书发出之日起至合同签订前，中标人不得开展项目实质性工作（如订货、 施工等）。否则，造成的有关损失由中标人自行承担。</w:t>
      </w:r>
    </w:p>
    <w:p>
      <w:pPr>
        <w:spacing w:line="360" w:lineRule="auto"/>
        <w:rPr>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、合同签订及公告</w:t>
      </w:r>
    </w:p>
    <w:p>
      <w:pPr>
        <w:spacing w:line="360" w:lineRule="auto"/>
        <w:ind w:firstLine="482" w:firstLineChars="200"/>
        <w:rPr>
          <w:b/>
          <w:bCs/>
          <w:color w:val="auto"/>
          <w:sz w:val="24"/>
          <w:szCs w:val="24"/>
          <w:highlight w:val="none"/>
        </w:rPr>
      </w:pPr>
      <w:r>
        <w:rPr>
          <w:rFonts w:hint="eastAsia"/>
          <w:b/>
          <w:bCs/>
          <w:color w:val="auto"/>
          <w:sz w:val="24"/>
          <w:szCs w:val="24"/>
          <w:highlight w:val="none"/>
        </w:rPr>
        <w:t>（一）签订合同</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1、采购人应当自中标通知书发出之日起</w:t>
      </w:r>
      <w:r>
        <w:rPr>
          <w:color w:val="auto"/>
          <w:highlight w:val="none"/>
          <w:lang w:val="en-US"/>
        </w:rPr>
        <w:t>10</w:t>
      </w:r>
      <w:r>
        <w:rPr>
          <w:color w:val="auto"/>
          <w:highlight w:val="none"/>
        </w:rPr>
        <w:t>个工作日内，按照招标文件和中标人投标文件的规定，与中标人签订书面合同。所签订的合同不得对招标文件确定的事项和中标人投标文件作实质性修改。</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2、采购人不得向中标人提出任何不合理的要求作为签订合同的条件。</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3、中标供应商无故拖延、拒签合同的，投标保证金将不予以退还并取消其中标资格。</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4、中标供应商拒绝与采购人签订合同的，采购人可以重新开展采购活动。同时，拒绝与采购人签订合同的供应商，由同由监督管理部门依法作出处理。</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p>
    <w:p>
      <w:pPr>
        <w:rPr>
          <w:rFonts w:ascii="宋体"/>
          <w:b/>
          <w:bCs/>
          <w:color w:val="auto"/>
          <w:kern w:val="0"/>
          <w:sz w:val="36"/>
          <w:szCs w:val="36"/>
          <w:highlight w:val="none"/>
        </w:rPr>
      </w:pPr>
      <w:r>
        <w:rPr>
          <w:rFonts w:ascii="宋体"/>
          <w:b/>
          <w:bCs/>
          <w:color w:val="auto"/>
          <w:kern w:val="0"/>
          <w:sz w:val="36"/>
          <w:szCs w:val="36"/>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rPr>
        <w:t>评标办法及评分标准</w:t>
      </w:r>
    </w:p>
    <w:p>
      <w:pPr>
        <w:widowControl/>
        <w:spacing w:line="360" w:lineRule="auto"/>
        <w:ind w:firstLine="482" w:firstLineChars="200"/>
        <w:jc w:val="left"/>
        <w:rPr>
          <w:rFonts w:ascii="宋体"/>
          <w:color w:val="auto"/>
          <w:kern w:val="0"/>
          <w:sz w:val="24"/>
          <w:szCs w:val="24"/>
          <w:highlight w:val="none"/>
        </w:rPr>
      </w:pPr>
      <w:r>
        <w:rPr>
          <w:rFonts w:hint="eastAsia" w:ascii="宋体" w:hAnsi="宋体" w:cs="宋体"/>
          <w:b/>
          <w:bCs/>
          <w:color w:val="auto"/>
          <w:kern w:val="0"/>
          <w:sz w:val="24"/>
          <w:szCs w:val="24"/>
          <w:highlight w:val="none"/>
        </w:rPr>
        <w:t>一、</w:t>
      </w:r>
      <w:r>
        <w:rPr>
          <w:rFonts w:hint="eastAsia" w:ascii="宋体" w:hAnsi="宋体" w:cs="宋体"/>
          <w:color w:val="auto"/>
          <w:kern w:val="0"/>
          <w:sz w:val="24"/>
          <w:szCs w:val="24"/>
          <w:highlight w:val="none"/>
        </w:rPr>
        <w:t>采购组织机构将组织评标委员会，对投标人提供的投标文件进行综合评审。</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本评标方法采用综合评分法，是指投标文件满足招标文件全部实质性要求，且按照</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评审因素的量化指标评审得分最高的投标人为中标候选人的评标方法。</w:t>
      </w:r>
      <w:r>
        <w:rPr>
          <w:rFonts w:ascii="宋体" w:hAnsi="宋体" w:cs="宋体"/>
          <w:color w:val="auto"/>
          <w:kern w:val="0"/>
          <w:sz w:val="24"/>
          <w:szCs w:val="24"/>
          <w:highlight w:val="none"/>
        </w:rPr>
        <w:t xml:space="preserve"> </w:t>
      </w:r>
    </w:p>
    <w:p>
      <w:pPr>
        <w:widowControl/>
        <w:spacing w:line="360" w:lineRule="auto"/>
        <w:ind w:firstLine="482" w:firstLineChars="20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二、确定中标候选人</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评标委员会按评审后综合得分由高到低顺序排列。综合得分相同的，按投标报价由低</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到高顺序排列；综合得分且投标报价相同的，按技术分得分由高到低顺序排列；如均相同，</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则抽签确定。排名第一的投标人为中标候选人。</w:t>
      </w:r>
      <w:r>
        <w:rPr>
          <w:rFonts w:ascii="宋体" w:hAnsi="宋体" w:cs="宋体"/>
          <w:color w:val="auto"/>
          <w:kern w:val="0"/>
          <w:sz w:val="24"/>
          <w:szCs w:val="24"/>
          <w:highlight w:val="none"/>
        </w:rPr>
        <w:t xml:space="preserve"> </w:t>
      </w:r>
    </w:p>
    <w:p>
      <w:pPr>
        <w:widowControl/>
        <w:spacing w:line="360" w:lineRule="auto"/>
        <w:ind w:firstLine="482" w:firstLineChars="20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三、评标细则</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按“投标人须知</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六、评标”的相关流程，依次对投标人的资格证明文件、商务</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与技术文件和报价文件进行评审。</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本项目总分</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商务与技术文件为</w:t>
      </w:r>
      <w:r>
        <w:rPr>
          <w:rFonts w:hint="eastAsia" w:ascii="宋体" w:hAnsi="宋体" w:cs="宋体"/>
          <w:color w:val="auto"/>
          <w:kern w:val="0"/>
          <w:sz w:val="24"/>
          <w:szCs w:val="24"/>
          <w:highlight w:val="none"/>
          <w:lang w:val="en-US" w:eastAsia="zh-CN"/>
        </w:rPr>
        <w:t>6</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分，报价文件为</w:t>
      </w:r>
      <w:r>
        <w:rPr>
          <w:rFonts w:hint="eastAsia" w:ascii="宋体" w:hAnsi="宋体" w:cs="宋体"/>
          <w:color w:val="auto"/>
          <w:kern w:val="0"/>
          <w:sz w:val="24"/>
          <w:szCs w:val="24"/>
          <w:highlight w:val="none"/>
          <w:lang w:val="en-US" w:eastAsia="zh-CN"/>
        </w:rPr>
        <w:t>4</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。各投标人的综合得分为其商务与技术文件得分与报价文件得分之和，即综合得分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商务与技术文件得分（商务</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资信分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技术分）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报价文件得分。</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（一）商务与技术文件中的商务资信分由评标委员会讨论后统一打分；技术分由评标委员会经充分审核、讨论后，在规定的分值内单独评定打分（小数点后保留</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位，第</w:t>
      </w:r>
      <w:r>
        <w:rPr>
          <w:rFonts w:ascii="宋体" w:hAnsi="宋体" w:cs="宋体"/>
          <w:color w:val="auto"/>
          <w:kern w:val="0"/>
          <w:sz w:val="24"/>
          <w:szCs w:val="24"/>
          <w:highlight w:val="none"/>
        </w:rPr>
        <w:t xml:space="preserve">2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位四舍五入）。</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（二）各投标人商务与技术文件得分按照评标委员会成员的独立评分结果汇总后的算</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术平均分计算</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小数点后保留</w:t>
      </w:r>
      <w:r>
        <w:rPr>
          <w:rFonts w:ascii="宋体" w:hAnsi="宋体" w:cs="宋体"/>
          <w:color w:val="auto"/>
          <w:kern w:val="0"/>
          <w:sz w:val="24"/>
          <w:szCs w:val="24"/>
          <w:highlight w:val="none"/>
        </w:rPr>
        <w:t xml:space="preserve"> 2 </w:t>
      </w:r>
      <w:r>
        <w:rPr>
          <w:rFonts w:hint="eastAsia" w:ascii="宋体" w:hAnsi="宋体" w:cs="宋体"/>
          <w:color w:val="auto"/>
          <w:kern w:val="0"/>
          <w:sz w:val="24"/>
          <w:szCs w:val="24"/>
          <w:highlight w:val="none"/>
        </w:rPr>
        <w:t>位，第</w:t>
      </w:r>
      <w:r>
        <w:rPr>
          <w:rFonts w:ascii="宋体" w:hAnsi="宋体" w:cs="宋体"/>
          <w:color w:val="auto"/>
          <w:kern w:val="0"/>
          <w:sz w:val="24"/>
          <w:szCs w:val="24"/>
          <w:highlight w:val="none"/>
        </w:rPr>
        <w:t xml:space="preserve"> 3 </w:t>
      </w:r>
      <w:r>
        <w:rPr>
          <w:rFonts w:hint="eastAsia" w:ascii="宋体" w:hAnsi="宋体" w:cs="宋体"/>
          <w:color w:val="auto"/>
          <w:kern w:val="0"/>
          <w:sz w:val="24"/>
          <w:szCs w:val="24"/>
          <w:highlight w:val="none"/>
        </w:rPr>
        <w:t>位四舍五入</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，计算公式为：</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商务与技术文件得分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评标委员会所有成员评分合计数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评标委员会组成人员数</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（三）投标报价得分采用低价优先法计算，即满足招标文件要求且投标价格最低的投标报价为评标基准价，其报价得满分。其他投标人的投标报价得分按下列公式计算（小数点后保留</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位，第</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位四舍五入）：</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投标报价得分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评标基准价／投标报价</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100 </w:t>
      </w:r>
      <w:r>
        <w:rPr>
          <w:rFonts w:hint="eastAsia" w:ascii="宋体" w:hAnsi="宋体" w:cs="宋体"/>
          <w:color w:val="auto"/>
          <w:kern w:val="0"/>
          <w:sz w:val="24"/>
          <w:szCs w:val="24"/>
          <w:highlight w:val="none"/>
        </w:rPr>
        <w:t>。</w:t>
      </w:r>
    </w:p>
    <w:p>
      <w:pPr>
        <w:widowControl/>
        <w:numPr>
          <w:ilvl w:val="0"/>
          <w:numId w:val="10"/>
        </w:numPr>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商务与技术文件评审内容及标准</w:t>
      </w:r>
    </w:p>
    <w:tbl>
      <w:tblPr>
        <w:tblStyle w:val="24"/>
        <w:tblpPr w:leftFromText="180" w:rightFromText="180" w:vertAnchor="text" w:horzAnchor="margin" w:tblpY="421"/>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15"/>
        <w:gridCol w:w="1075"/>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88" w:type="dxa"/>
            <w:gridSpan w:val="4"/>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auto"/>
              <w:ind w:firstLine="4578" w:firstLineChars="19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技术资信部分评审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105" w:leftChars="-50" w:right="-105" w:rightChars="-5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 分 内 容</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12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78"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105" w:leftChars="-50" w:right="-105" w:rightChars="-5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投标人综合实力</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20" w:type="dxa"/>
            <w:tcBorders>
              <w:top w:val="single" w:color="auto" w:sz="4" w:space="0"/>
              <w:left w:val="single" w:color="auto" w:sz="4" w:space="0"/>
              <w:right w:val="single" w:color="auto" w:sz="12" w:space="0"/>
            </w:tcBorders>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ISO9001质量管理体系认证（内容符合水处理设备的集成及安装、调试），得1分。</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ISO27001信息安全体系认证，得1分。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3、ISO14001 环境管理体系认证（内容符合水处理设备的集成及安装、调试等）,得1分。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4、OHSAS18001职业健康安全管理体系认证（内容符合水处理设备的集成及安装、调试等）,得1分。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5、具有涉及本次采购的液体投加系统专利证书，一个得1分，最高得2分。</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、项目技术负责人具有高级或以上技术职称并提交近半年社保证明得2分。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78"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105" w:leftChars="-50" w:right="-105" w:rightChars="-5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工艺设计及技术方案、施工方案、组织措施及项目进度、技术培训方案</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w:t>
            </w:r>
          </w:p>
        </w:tc>
        <w:tc>
          <w:tcPr>
            <w:tcW w:w="612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numPr>
                <w:ilvl w:val="0"/>
                <w:numId w:val="1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系统工艺设计方案、图纸详细合理，好得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分；较好得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分；一般得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分。</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施工组织结构措施及进度安排的完整性，配备人员力量，好得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分；较好得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分；一般得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分。</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对系统的合理化建议，好得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分；较好得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分；一般得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分。</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调试及验收、培训方案，好得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分；较好得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分；一般得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78"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系统配置的合理性及软硬件配置总体评价</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612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numPr>
                <w:ilvl w:val="0"/>
                <w:numId w:val="13"/>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系统配置及硬件配置与招标技术要求的符合程度，好得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-5分；较好得4</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-3分；一般得</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-0分。</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所投产品的使用功能先进性、稳定性、可靠性描述详细及相关涉水设备的省级以上涉水卫生许可证书，好得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-5分；较好得4</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-3分；一般得</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478"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同类项目业绩</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612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2"/>
                <w:kern w:val="24"/>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年1月1日（以合同签订日期为准）</w:t>
            </w:r>
            <w:r>
              <w:rPr>
                <w:rFonts w:hint="eastAsia" w:ascii="宋体" w:hAnsi="宋体" w:eastAsia="宋体" w:cs="宋体"/>
                <w:color w:val="auto"/>
                <w:kern w:val="0"/>
                <w:sz w:val="24"/>
                <w:szCs w:val="24"/>
              </w:rPr>
              <w:t>以来</w:t>
            </w:r>
            <w:r>
              <w:rPr>
                <w:rFonts w:hint="eastAsia" w:ascii="宋体" w:hAnsi="宋体" w:eastAsia="宋体" w:cs="宋体"/>
                <w:bCs/>
                <w:color w:val="auto"/>
                <w:sz w:val="24"/>
                <w:szCs w:val="24"/>
              </w:rPr>
              <w:t>从事过供水量</w:t>
            </w: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rPr>
              <w:t>万吨及以上自来水厂</w:t>
            </w:r>
            <w:r>
              <w:rPr>
                <w:rFonts w:hint="eastAsia" w:ascii="宋体" w:hAnsi="宋体" w:eastAsia="宋体" w:cs="宋体"/>
                <w:bCs/>
                <w:color w:val="auto"/>
                <w:sz w:val="24"/>
                <w:szCs w:val="24"/>
              </w:rPr>
              <w:t>液体投加系统工程业绩，每提供一个业绩得1分，最高得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78"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工程质量保证情况</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12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kern w:val="24"/>
                <w:sz w:val="24"/>
                <w:szCs w:val="24"/>
              </w:rPr>
              <w:t>质</w:t>
            </w:r>
            <w:r>
              <w:rPr>
                <w:rFonts w:hint="eastAsia" w:ascii="宋体" w:hAnsi="宋体" w:eastAsia="宋体" w:cs="宋体"/>
                <w:color w:val="auto"/>
                <w:spacing w:val="2"/>
                <w:sz w:val="24"/>
                <w:szCs w:val="24"/>
              </w:rPr>
              <w:t>量目标的承诺情况，最高得1分；施工质量管理保障体系（人员、制度）和控制措施、手段和方法是否能确保质量目标的实现情况，最高得2分；对施工过程中关键工序和关键部位质量控制、材料质量控制情况，最高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78" w:type="dxa"/>
            <w:tcBorders>
              <w:top w:val="single" w:color="auto" w:sz="4" w:space="0"/>
              <w:left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61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105" w:leftChars="5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售后服务承诺</w:t>
            </w:r>
          </w:p>
        </w:tc>
        <w:tc>
          <w:tcPr>
            <w:tcW w:w="107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612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售后服务方案及维护方案：根据投标人提供的售后服务方案、维护范围、服务方式及内容、免费维护期后的维护费用等内容，好得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分；较好得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分；一般得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.9-0分。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p>
        </w:tc>
        <w:tc>
          <w:tcPr>
            <w:tcW w:w="161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技术资信总分</w:t>
            </w:r>
          </w:p>
        </w:tc>
        <w:tc>
          <w:tcPr>
            <w:tcW w:w="107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198" w:firstLineChars="82"/>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6</w:t>
            </w:r>
            <w:r>
              <w:rPr>
                <w:rFonts w:hint="eastAsia" w:ascii="宋体" w:hAnsi="宋体" w:eastAsia="宋体" w:cs="宋体"/>
                <w:b/>
                <w:color w:val="auto"/>
                <w:sz w:val="24"/>
                <w:szCs w:val="24"/>
              </w:rPr>
              <w:t>0</w:t>
            </w:r>
          </w:p>
        </w:tc>
        <w:tc>
          <w:tcPr>
            <w:tcW w:w="6120"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rPr>
            </w:pPr>
          </w:p>
        </w:tc>
      </w:tr>
    </w:tbl>
    <w:p>
      <w:pPr>
        <w:pStyle w:val="2"/>
        <w:rPr>
          <w:color w:val="auto"/>
          <w:highlight w:val="none"/>
        </w:rPr>
      </w:pPr>
    </w:p>
    <w:p>
      <w:pPr>
        <w:widowControl/>
        <w:spacing w:line="400" w:lineRule="exact"/>
        <w:jc w:val="left"/>
        <w:rPr>
          <w:rFonts w:ascii="宋体"/>
          <w:color w:val="auto"/>
          <w:kern w:val="0"/>
          <w:highlight w:val="none"/>
        </w:rPr>
      </w:pPr>
      <w:r>
        <w:rPr>
          <w:rFonts w:hint="eastAsia" w:ascii="宋体" w:hAnsi="宋体" w:cs="宋体"/>
          <w:color w:val="auto"/>
          <w:kern w:val="0"/>
          <w:sz w:val="24"/>
          <w:szCs w:val="24"/>
          <w:highlight w:val="none"/>
        </w:rPr>
        <w:t>注：所有涉及打分项的相关证书和业绩并加盖公章。复印件（或扫描件）应清晰可辨，否则相应分值扣除。</w:t>
      </w:r>
    </w:p>
    <w:p>
      <w:pPr>
        <w:jc w:val="center"/>
        <w:rPr>
          <w:rFonts w:ascii="宋体"/>
          <w:b/>
          <w:bCs/>
          <w:color w:val="auto"/>
          <w:sz w:val="36"/>
          <w:szCs w:val="36"/>
          <w:highlight w:val="none"/>
        </w:rPr>
      </w:pPr>
      <w:r>
        <w:rPr>
          <w:rFonts w:ascii="宋体"/>
          <w:b/>
          <w:bCs/>
          <w:color w:val="auto"/>
          <w:sz w:val="36"/>
          <w:szCs w:val="36"/>
          <w:highlight w:val="none"/>
        </w:rPr>
        <w:br w:type="page"/>
      </w:r>
      <w:r>
        <w:rPr>
          <w:rFonts w:hint="eastAsia" w:ascii="宋体" w:hAnsi="宋体" w:cs="宋体"/>
          <w:b/>
          <w:bCs/>
          <w:color w:val="auto"/>
          <w:sz w:val="36"/>
          <w:szCs w:val="36"/>
          <w:highlight w:val="none"/>
        </w:rPr>
        <w:t>第四章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公开招标需求</w:t>
      </w:r>
    </w:p>
    <w:p>
      <w:pPr>
        <w:tabs>
          <w:tab w:val="left" w:pos="8280"/>
        </w:tabs>
        <w:autoSpaceDE w:val="0"/>
        <w:autoSpaceDN w:val="0"/>
        <w:adjustRightInd w:val="0"/>
        <w:spacing w:line="360" w:lineRule="auto"/>
        <w:ind w:right="23"/>
        <w:jc w:val="center"/>
        <w:outlineLvl w:val="1"/>
        <w:rPr>
          <w:rFonts w:ascii="宋体"/>
          <w:b/>
          <w:bCs/>
          <w:color w:val="auto"/>
          <w:sz w:val="24"/>
          <w:szCs w:val="24"/>
          <w:highlight w:val="none"/>
        </w:rPr>
      </w:pPr>
      <w:r>
        <w:rPr>
          <w:rFonts w:hint="eastAsia" w:ascii="宋体" w:hAnsi="宋体" w:cs="宋体"/>
          <w:b/>
          <w:bCs/>
          <w:color w:val="auto"/>
          <w:sz w:val="32"/>
          <w:szCs w:val="32"/>
          <w:highlight w:val="none"/>
        </w:rPr>
        <w:t>第一节</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技术要求</w:t>
      </w:r>
    </w:p>
    <w:p>
      <w:pPr>
        <w:adjustRightInd w:val="0"/>
        <w:snapToGrid w:val="0"/>
        <w:spacing w:line="360" w:lineRule="auto"/>
        <w:outlineLvl w:val="0"/>
        <w:rPr>
          <w:rFonts w:ascii="宋体"/>
          <w:b/>
          <w:bCs/>
          <w:color w:val="auto"/>
          <w:sz w:val="24"/>
          <w:szCs w:val="24"/>
          <w:highlight w:val="none"/>
        </w:rPr>
      </w:pPr>
    </w:p>
    <w:p>
      <w:pPr>
        <w:adjustRightInd w:val="0"/>
        <w:snapToGrid w:val="0"/>
        <w:spacing w:line="360" w:lineRule="auto"/>
        <w:outlineLvl w:val="0"/>
        <w:rPr>
          <w:rFonts w:ascii="宋体"/>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cs="宋体"/>
          <w:b/>
          <w:bCs/>
          <w:color w:val="auto"/>
          <w:sz w:val="24"/>
          <w:szCs w:val="24"/>
          <w:highlight w:val="none"/>
        </w:rPr>
        <w:t>、技术需求</w:t>
      </w:r>
    </w:p>
    <w:p>
      <w:pPr>
        <w:pStyle w:val="88"/>
        <w:ind w:left="440" w:firstLine="0"/>
        <w:rPr>
          <w:rFonts w:ascii="宋体" w:cs="Times New Roman"/>
          <w:b/>
          <w:bCs/>
          <w:color w:val="auto"/>
          <w:highlight w:val="none"/>
        </w:rPr>
      </w:pPr>
      <w:r>
        <w:rPr>
          <w:rFonts w:hint="eastAsia" w:ascii="宋体" w:hAnsi="宋体" w:cs="宋体"/>
          <w:b/>
          <w:bCs/>
          <w:color w:val="auto"/>
          <w:highlight w:val="none"/>
        </w:rPr>
        <w:t>（一）、</w:t>
      </w:r>
      <w:r>
        <w:rPr>
          <w:rFonts w:hint="eastAsia" w:ascii="Times New Roman" w:hAnsi="Times New Roman" w:cs="宋体"/>
          <w:b/>
          <w:bCs/>
          <w:color w:val="auto"/>
          <w:highlight w:val="none"/>
        </w:rPr>
        <w:t>项目概况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eastAsia="宋体" w:cs="宋体"/>
          <w:snapToGrid w:val="0"/>
          <w:color w:val="auto"/>
          <w:sz w:val="24"/>
          <w:szCs w:val="24"/>
          <w:highlight w:val="none"/>
        </w:rPr>
        <w:t>根据《中华人民共和国政府采购法》等有关规定，受委托就水厂次氯酸钠、聚合氯化铝投加系统项目进行公开招标，现欢迎国内合格的供应商前来投标。</w:t>
      </w:r>
    </w:p>
    <w:p>
      <w:pPr>
        <w:pStyle w:val="88"/>
        <w:keepNext w:val="0"/>
        <w:keepLines w:val="0"/>
        <w:pageBreakBefore w:val="0"/>
        <w:kinsoku/>
        <w:wordWrap/>
        <w:overflowPunct/>
        <w:topLinePunct w:val="0"/>
        <w:autoSpaceDE/>
        <w:autoSpaceDN/>
        <w:bidi w:val="0"/>
        <w:adjustRightInd/>
        <w:snapToGrid/>
        <w:spacing w:line="360" w:lineRule="auto"/>
        <w:ind w:left="440" w:firstLine="0"/>
        <w:textAlignment w:val="auto"/>
        <w:rPr>
          <w:rFonts w:hint="eastAsia" w:ascii="宋体" w:hAnsi="宋体" w:cs="宋体"/>
          <w:b/>
          <w:bCs/>
          <w:color w:val="auto"/>
          <w:highlight w:val="none"/>
        </w:rPr>
      </w:pPr>
      <w:r>
        <w:rPr>
          <w:rFonts w:hint="eastAsia" w:ascii="宋体" w:hAnsi="宋体" w:cs="宋体"/>
          <w:b/>
          <w:bCs/>
          <w:color w:val="auto"/>
          <w:highlight w:val="none"/>
          <w:lang w:eastAsia="zh-CN"/>
        </w:rPr>
        <w:t>（二）</w:t>
      </w:r>
      <w:r>
        <w:rPr>
          <w:rFonts w:hint="eastAsia" w:ascii="宋体" w:hAnsi="宋体" w:cs="宋体"/>
          <w:b/>
          <w:bCs/>
          <w:color w:val="auto"/>
          <w:highlight w:val="none"/>
        </w:rPr>
        <w:t>、设备清单</w:t>
      </w:r>
    </w:p>
    <w:p>
      <w:pPr>
        <w:pStyle w:val="6"/>
        <w:tabs>
          <w:tab w:val="left" w:pos="720"/>
        </w:tabs>
        <w:jc w:val="center"/>
        <w:rPr>
          <w:color w:val="auto"/>
        </w:rPr>
      </w:pPr>
      <w:r>
        <w:rPr>
          <w:rFonts w:hint="eastAsia"/>
          <w:color w:val="auto"/>
        </w:rPr>
        <w:t>次氯酸钠设备清单</w:t>
      </w:r>
    </w:p>
    <w:tbl>
      <w:tblPr>
        <w:tblStyle w:val="24"/>
        <w:tblW w:w="9737" w:type="dxa"/>
        <w:tblInd w:w="93" w:type="dxa"/>
        <w:tblLayout w:type="autofit"/>
        <w:tblCellMar>
          <w:top w:w="0" w:type="dxa"/>
          <w:left w:w="108" w:type="dxa"/>
          <w:bottom w:w="0" w:type="dxa"/>
          <w:right w:w="108" w:type="dxa"/>
        </w:tblCellMar>
      </w:tblPr>
      <w:tblGrid>
        <w:gridCol w:w="952"/>
        <w:gridCol w:w="1476"/>
        <w:gridCol w:w="3846"/>
        <w:gridCol w:w="1017"/>
        <w:gridCol w:w="892"/>
        <w:gridCol w:w="1554"/>
      </w:tblGrid>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3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规格说明</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r>
      <w:tr>
        <w:tblPrEx>
          <w:tblCellMar>
            <w:top w:w="0" w:type="dxa"/>
            <w:left w:w="108" w:type="dxa"/>
            <w:bottom w:w="0" w:type="dxa"/>
            <w:right w:w="108" w:type="dxa"/>
          </w:tblCellMar>
        </w:tblPrEx>
        <w:trPr>
          <w:trHeight w:val="90" w:hRule="atLeast"/>
        </w:trPr>
        <w:tc>
          <w:tcPr>
            <w:tcW w:w="97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、储存系统（含次氯酸钠加药系统控制软件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立式储罐系统</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总容积：10 m3，  含储罐、阀门、管路、超声波液位计及其他安装辅材</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立式储罐</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PTW10000L型，容积：10 m3，总高：3220 mm，直径：2200 mm，盖直径：600 mm；PE材质，加厚30%；标准进出接口：DN65法兰；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新远栋、瀚翔、旖恺</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超声波液位计</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量程：0-5 m，测量值分辨率：1 mm；一体式</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E+H、西门子、ABB</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储罐配套阀门辅材</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含液位管、液位板、取样阀、进出口电动球阀、手动阀、及相关管路和安装辅材</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手动球阀</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DN65；接口：双由令承插；材质：UPVC；压力：PN10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手动球阀</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DN50；接口：双由令承插；材质：UPVC；压力：PN10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单向阀</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DN50；材质：UPVC；压力：PN10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UPVC管路</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进出药、溢流排空管道，DN65；材质：UPVC；压力：PN10（按实）</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UPVC管路</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进水管，DN50；材质：UPVC；压力：PN10（按实）</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7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rPr>
              <w:t>、投加系统（含次氯酸钠加药系统控制软件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计量泵撬装装置</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一体化撬装形式，含计量泵、Y型过滤器，进出口阀门管路，撬装支架以及配套安装辅材</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计量泵</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流量：</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 xml:space="preserve"> L/h；0.4MPa(4bar)；泵头材质：PVC；调节精度：1:1000；调节方式：4-20 mA；信号输出：4-20 mA；流量反馈信号；电机：220 V；功率：</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W</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格兰富、普罗名特、W＆T</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计量泵附件</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每台计量泵包含多功能阀、压力表以及足量的手动阀门、配套的安装辅材</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配套</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投加管路</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DN15；材质：UPVC；压力：PN16（按实）</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加药扩散器</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DN20，含带压开孔组件、手动阀门、不锈钢套管等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90" w:hRule="atLeast"/>
        </w:trPr>
        <w:tc>
          <w:tcPr>
            <w:tcW w:w="97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、控制系统（含次氯酸钠加药系统控制软件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PLC柜</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L800*D600*H2000 mm；材质：碳钢喷塑；含西门子1200PLC一套；一台12吋西门子触摸屏，预留以太网接口；</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上位机</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上位机编程（仅限加药系统操作画面制作，不含软件）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电缆</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不含光纤通信电缆，不含水厂总配电柜至我司控制柜电缆，仅含控制柜至我司设备电缆</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元通、中策、远东</w:t>
            </w:r>
          </w:p>
        </w:tc>
      </w:tr>
      <w:tr>
        <w:tblPrEx>
          <w:tblCellMar>
            <w:top w:w="0" w:type="dxa"/>
            <w:left w:w="108" w:type="dxa"/>
            <w:bottom w:w="0" w:type="dxa"/>
            <w:right w:w="108" w:type="dxa"/>
          </w:tblCellMar>
        </w:tblPrEx>
        <w:trPr>
          <w:trHeight w:val="90" w:hRule="atLeast"/>
        </w:trPr>
        <w:tc>
          <w:tcPr>
            <w:tcW w:w="97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四</w:t>
            </w:r>
            <w:r>
              <w:rPr>
                <w:rFonts w:hint="eastAsia" w:ascii="宋体" w:hAnsi="宋体" w:eastAsia="宋体" w:cs="宋体"/>
                <w:color w:val="auto"/>
                <w:sz w:val="24"/>
                <w:szCs w:val="24"/>
              </w:rPr>
              <w:t>、其他（含次氯酸钠加药系统控制软件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90" w:hRule="atLeast"/>
        </w:trPr>
        <w:tc>
          <w:tcPr>
            <w:tcW w:w="952" w:type="dxa"/>
            <w:vMerge w:val="restart"/>
            <w:tcBorders>
              <w:top w:val="single" w:color="000000" w:sz="4" w:space="0"/>
              <w:left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6" w:type="dxa"/>
            <w:vMerge w:val="restart"/>
            <w:tcBorders>
              <w:top w:val="single" w:color="000000" w:sz="4" w:space="0"/>
              <w:left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安装附件</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法兰、弯头、三通、活接、直接、补心、等管配件；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90" w:hRule="atLeast"/>
        </w:trPr>
        <w:tc>
          <w:tcPr>
            <w:tcW w:w="952" w:type="dxa"/>
            <w:vMerge w:val="continue"/>
            <w:tcBorders>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476" w:type="dxa"/>
            <w:vMerge w:val="continue"/>
            <w:tcBorders>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管卡、螺栓、螺母、支架、线槽、波纹管等安装辅材</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国产</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防护装置</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包括一套洗眼器、两套防腐蚀服、两套橡胶手套、两套长筒雨靴、两副防护眼罩、一套工具包、一只柜子</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国产</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原水</w:t>
            </w:r>
            <w:r>
              <w:rPr>
                <w:rFonts w:hint="eastAsia" w:ascii="宋体" w:hAnsi="宋体" w:cs="宋体"/>
                <w:color w:val="auto"/>
                <w:sz w:val="24"/>
                <w:szCs w:val="24"/>
                <w:lang w:eastAsia="zh-CN"/>
              </w:rPr>
              <w:t>超声波</w:t>
            </w:r>
            <w:r>
              <w:rPr>
                <w:rFonts w:hint="eastAsia" w:ascii="宋体" w:hAnsi="宋体" w:eastAsia="宋体" w:cs="宋体"/>
                <w:color w:val="auto"/>
                <w:sz w:val="24"/>
                <w:szCs w:val="24"/>
              </w:rPr>
              <w:t>量计</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DN600，不锈钢电极，衬里材料：橡胶；传感器防护等级：IP68；法兰安装，配置室外表头箱</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科隆、西门子、ABB</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原水</w:t>
            </w:r>
            <w:r>
              <w:rPr>
                <w:rFonts w:hint="eastAsia" w:ascii="宋体" w:hAnsi="宋体" w:cs="宋体"/>
                <w:color w:val="auto"/>
                <w:sz w:val="24"/>
                <w:szCs w:val="24"/>
                <w:lang w:eastAsia="zh-CN"/>
              </w:rPr>
              <w:t>超声波</w:t>
            </w:r>
            <w:r>
              <w:rPr>
                <w:rFonts w:hint="eastAsia" w:ascii="宋体" w:hAnsi="宋体" w:eastAsia="宋体" w:cs="宋体"/>
                <w:color w:val="auto"/>
                <w:sz w:val="24"/>
                <w:szCs w:val="24"/>
              </w:rPr>
              <w:t>量计</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DN400，不锈钢电极，衬里材料：橡胶；传感器防护等级：IP68；法兰安装，配置室外表头箱</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科隆、西门子、ABB</w:t>
            </w:r>
          </w:p>
        </w:tc>
      </w:tr>
      <w:tr>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水处理剂精准投加控制软件</w:t>
            </w:r>
            <w:r>
              <w:rPr>
                <w:rFonts w:hint="eastAsia" w:ascii="宋体" w:hAnsi="宋体" w:cs="宋体"/>
                <w:color w:val="auto"/>
                <w:sz w:val="24"/>
                <w:szCs w:val="24"/>
                <w:lang w:eastAsia="zh-CN"/>
              </w:rPr>
              <w:t xml:space="preserve"> </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含安装调试费，运维，税费</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bl>
    <w:p>
      <w:pPr>
        <w:ind w:firstLine="480"/>
        <w:rPr>
          <w:color w:val="auto"/>
        </w:rPr>
      </w:pPr>
    </w:p>
    <w:p>
      <w:pPr>
        <w:pStyle w:val="6"/>
        <w:tabs>
          <w:tab w:val="left" w:pos="720"/>
        </w:tabs>
        <w:jc w:val="center"/>
        <w:rPr>
          <w:color w:val="auto"/>
        </w:rPr>
      </w:pPr>
      <w:r>
        <w:rPr>
          <w:rFonts w:hint="eastAsia"/>
          <w:color w:val="auto"/>
        </w:rPr>
        <w:t>聚合氯化铝设备清单</w:t>
      </w:r>
    </w:p>
    <w:tbl>
      <w:tblPr>
        <w:tblStyle w:val="24"/>
        <w:tblW w:w="9738" w:type="dxa"/>
        <w:tblInd w:w="93" w:type="dxa"/>
        <w:tblLayout w:type="fixed"/>
        <w:tblCellMar>
          <w:top w:w="0" w:type="dxa"/>
          <w:left w:w="108" w:type="dxa"/>
          <w:bottom w:w="0" w:type="dxa"/>
          <w:right w:w="108" w:type="dxa"/>
        </w:tblCellMar>
      </w:tblPr>
      <w:tblGrid>
        <w:gridCol w:w="967"/>
        <w:gridCol w:w="1451"/>
        <w:gridCol w:w="3879"/>
        <w:gridCol w:w="1001"/>
        <w:gridCol w:w="901"/>
        <w:gridCol w:w="1539"/>
      </w:tblGrid>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规格说明</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r>
      <w:tr>
        <w:tblPrEx>
          <w:tblCellMar>
            <w:top w:w="0" w:type="dxa"/>
            <w:left w:w="108" w:type="dxa"/>
            <w:bottom w:w="0" w:type="dxa"/>
            <w:right w:w="108" w:type="dxa"/>
          </w:tblCellMar>
        </w:tblPrEx>
        <w:trPr>
          <w:trHeight w:val="244" w:hRule="atLeast"/>
        </w:trPr>
        <w:tc>
          <w:tcPr>
            <w:tcW w:w="9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一、储存系统（含聚合氯化铝加药系统控制软件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立式储罐系统</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总容积：10 m3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312" w:hRule="atLeast"/>
        </w:trPr>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立式储罐</w:t>
            </w:r>
          </w:p>
        </w:tc>
        <w:tc>
          <w:tcPr>
            <w:tcW w:w="3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PTW10000L型，容积：10 m3，总高：3220 mm，直径：2200 mm，盖直径：600 mm；PE材质，加厚30%；标准进出接口：DN65法兰；</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新远栋、瀚翔、旖恺</w:t>
            </w:r>
          </w:p>
        </w:tc>
      </w:tr>
      <w:tr>
        <w:tblPrEx>
          <w:tblCellMar>
            <w:top w:w="0" w:type="dxa"/>
            <w:left w:w="108" w:type="dxa"/>
            <w:bottom w:w="0" w:type="dxa"/>
            <w:right w:w="108" w:type="dxa"/>
          </w:tblCellMar>
        </w:tblPrEx>
        <w:trPr>
          <w:trHeight w:val="312" w:hRule="atLeast"/>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3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74" w:hRule="atLeast"/>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3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超声波液位计</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量程：0-5 m，测量值分辨率：1 mm；一体式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E+H、西门子、ABB</w:t>
            </w:r>
          </w:p>
        </w:tc>
      </w:tr>
      <w:tr>
        <w:tblPrEx>
          <w:tblCellMar>
            <w:top w:w="0" w:type="dxa"/>
            <w:left w:w="108" w:type="dxa"/>
            <w:bottom w:w="0" w:type="dxa"/>
            <w:right w:w="108" w:type="dxa"/>
          </w:tblCellMar>
        </w:tblPrEx>
        <w:trPr>
          <w:trHeight w:val="71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储罐配套阀门辅材</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含液位管、液位板、取样阀、进出口电动球阀、手动阀、及相关管路和安装辅材</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手动球阀</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DN65；接口：双由令承插；材质：UPVC；压力：PN10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手动球阀</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DN50；接口：双由令承插；材质：UPVC；压力：PN10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单向阀</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DN50；材质：UPVC；压力：PN10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UPVC管路</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DN65；材质：UPVC；压力：PN10（按实）</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UPVC管路</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DN50；材质：UPVC；压力：PN10（按实）</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244" w:hRule="atLeast"/>
        </w:trPr>
        <w:tc>
          <w:tcPr>
            <w:tcW w:w="9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二、投加系统（含聚合氯化铝加药系统控制软件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312" w:hRule="atLeast"/>
        </w:trPr>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计量泵撬装装置</w:t>
            </w:r>
          </w:p>
        </w:tc>
        <w:tc>
          <w:tcPr>
            <w:tcW w:w="3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一体化撬装形式，含计量泵，、Y型过滤器，进出口阀门管路，撬装支架以及配套安装辅材</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312" w:hRule="atLeast"/>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3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12" w:hRule="atLeast"/>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3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计量泵</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DDA30，流量：</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 xml:space="preserve"> L/h；0.4MPa(4bar)；泵头材质：PVC；调节精度：1:1000；调节方式：4-20 mA；信号输出：4-20 mA；流量反馈信号；电机：220 V；功率：</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W</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格兰富、普罗名特、W＆T</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计量泵附件</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每台计量泵包含多功能阀、压力表以及足量的手动阀门、配套的安装辅材</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配套</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投加管路</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DN15；材质：UPVC；压力：PN16（按实）</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SANKING、GF、日本积水</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加药扩散器</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DN20，含带压开孔组件、手动阀门、不锈钢套管等</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244" w:hRule="atLeast"/>
        </w:trPr>
        <w:tc>
          <w:tcPr>
            <w:tcW w:w="9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三、控制系统（含聚合氯化铝加药系统控制软件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9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PLC柜</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L800*D600*H2000 mm；材质：碳钢喷塑；含西门子1200PLC一套；一台12吋西门子触摸屏，预留以太网接口；</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上位机</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上位机编程（仅限加药系统操作画面制作，不含软件）</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电缆</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不含光纤通信电缆，不含水厂总配电柜至控制柜电缆，仅含控制柜至设备电缆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元通、中策、远东</w:t>
            </w:r>
          </w:p>
        </w:tc>
      </w:tr>
      <w:tr>
        <w:tblPrEx>
          <w:tblCellMar>
            <w:top w:w="0" w:type="dxa"/>
            <w:left w:w="108" w:type="dxa"/>
            <w:bottom w:w="0" w:type="dxa"/>
            <w:right w:w="108" w:type="dxa"/>
          </w:tblCellMar>
        </w:tblPrEx>
        <w:trPr>
          <w:trHeight w:val="244" w:hRule="atLeast"/>
        </w:trPr>
        <w:tc>
          <w:tcPr>
            <w:tcW w:w="9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四、其他（含聚合氯化铝加药系统控制软件</w:t>
            </w:r>
            <w:r>
              <w:rPr>
                <w:rFonts w:hint="eastAsia" w:ascii="宋体" w:hAnsi="宋体" w:cs="宋体"/>
                <w:color w:val="auto"/>
                <w:sz w:val="24"/>
                <w:szCs w:val="24"/>
                <w:lang w:eastAsia="zh-CN"/>
              </w:rPr>
              <w:t xml:space="preserve"> </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478"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安装附件</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国产</w:t>
            </w:r>
          </w:p>
        </w:tc>
      </w:tr>
      <w:tr>
        <w:tblPrEx>
          <w:tblCellMar>
            <w:top w:w="0" w:type="dxa"/>
            <w:left w:w="108" w:type="dxa"/>
            <w:bottom w:w="0" w:type="dxa"/>
            <w:right w:w="108" w:type="dxa"/>
          </w:tblCellMar>
        </w:tblPrEx>
        <w:trPr>
          <w:trHeight w:val="9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水处理剂精准投加控制软件</w:t>
            </w:r>
            <w:r>
              <w:rPr>
                <w:rFonts w:hint="eastAsia" w:ascii="宋体" w:hAnsi="宋体" w:cs="宋体"/>
                <w:color w:val="auto"/>
                <w:sz w:val="24"/>
                <w:szCs w:val="24"/>
                <w:lang w:eastAsia="zh-CN"/>
              </w:rPr>
              <w:t xml:space="preserve"> </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含安装调试费，运维，税费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集成商成套</w:t>
            </w:r>
          </w:p>
        </w:tc>
      </w:tr>
    </w:tbl>
    <w:p>
      <w:pPr>
        <w:pStyle w:val="88"/>
        <w:keepNext w:val="0"/>
        <w:keepLines w:val="0"/>
        <w:pageBreakBefore w:val="0"/>
        <w:kinsoku/>
        <w:wordWrap/>
        <w:overflowPunct/>
        <w:topLinePunct w:val="0"/>
        <w:autoSpaceDE/>
        <w:autoSpaceDN/>
        <w:bidi w:val="0"/>
        <w:adjustRightInd/>
        <w:snapToGrid/>
        <w:spacing w:line="360" w:lineRule="auto"/>
        <w:ind w:left="440" w:firstLine="0"/>
        <w:textAlignment w:val="auto"/>
        <w:rPr>
          <w:rFonts w:hint="eastAsia" w:ascii="宋体" w:hAnsi="宋体" w:cs="宋体"/>
          <w:b/>
          <w:bCs/>
          <w:color w:val="auto"/>
          <w:highlight w:val="none"/>
          <w:lang w:eastAsia="zh-CN"/>
        </w:rPr>
      </w:pPr>
      <w:r>
        <w:rPr>
          <w:rFonts w:hint="eastAsia" w:ascii="宋体" w:hAnsi="宋体" w:cs="宋体"/>
          <w:b/>
          <w:bCs/>
          <w:color w:val="auto"/>
          <w:highlight w:val="none"/>
          <w:lang w:eastAsia="zh-CN"/>
        </w:rPr>
        <w:t>注：欢迎其他能满足本项目技术需求且性能与所明确品牌相当或优于的产品参加。</w:t>
      </w:r>
    </w:p>
    <w:p>
      <w:pPr>
        <w:pStyle w:val="88"/>
        <w:keepNext w:val="0"/>
        <w:keepLines w:val="0"/>
        <w:pageBreakBefore w:val="0"/>
        <w:kinsoku/>
        <w:wordWrap/>
        <w:overflowPunct/>
        <w:topLinePunct w:val="0"/>
        <w:autoSpaceDE/>
        <w:autoSpaceDN/>
        <w:bidi w:val="0"/>
        <w:adjustRightInd/>
        <w:snapToGrid/>
        <w:spacing w:line="360" w:lineRule="auto"/>
        <w:ind w:left="440" w:firstLine="0"/>
        <w:textAlignment w:val="auto"/>
        <w:rPr>
          <w:rFonts w:hint="eastAsia" w:ascii="宋体" w:hAnsi="宋体" w:cs="宋体"/>
          <w:b/>
          <w:bCs/>
          <w:color w:val="auto"/>
          <w:highlight w:val="none"/>
          <w:lang w:eastAsia="zh-CN"/>
        </w:rPr>
      </w:pPr>
      <w:r>
        <w:rPr>
          <w:rFonts w:hint="eastAsia" w:ascii="宋体" w:hAnsi="宋体" w:cs="宋体"/>
          <w:b/>
          <w:bCs/>
          <w:color w:val="auto"/>
          <w:highlight w:val="none"/>
          <w:lang w:eastAsia="zh-CN"/>
        </w:rPr>
        <w:t>（三）技术要求</w:t>
      </w:r>
    </w:p>
    <w:p>
      <w:pPr>
        <w:pStyle w:val="6"/>
        <w:tabs>
          <w:tab w:val="left" w:pos="720"/>
        </w:tabs>
        <w:jc w:val="center"/>
        <w:rPr>
          <w:color w:val="auto"/>
          <w:shd w:val="clear" w:color="auto" w:fill="FFFFFF"/>
        </w:rPr>
      </w:pPr>
      <w:r>
        <w:rPr>
          <w:color w:val="auto"/>
          <w:shd w:val="clear" w:color="auto" w:fill="FFFFFF"/>
        </w:rPr>
        <w:t>次氯酸钠</w:t>
      </w:r>
      <w:r>
        <w:rPr>
          <w:rFonts w:hint="eastAsia"/>
          <w:color w:val="auto"/>
          <w:shd w:val="clear" w:color="auto" w:fill="FFFFFF"/>
        </w:rPr>
        <w:t>系统</w:t>
      </w:r>
      <w:r>
        <w:rPr>
          <w:color w:val="auto"/>
          <w:shd w:val="clear" w:color="auto" w:fill="FFFFFF"/>
        </w:rPr>
        <w:t>性能要求</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0" w:name="_Toc12346836"/>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储罐</w:t>
      </w:r>
      <w:bookmarkEnd w:id="0"/>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容积：10m³</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材质：食品级，PE加厚30%；</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盖直径：600mm；</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标准进出接口： DN65法兰；</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其他参数：储罐上预留排气口。</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★为防止药剂渗漏储罐接口法兰必须采用一体成型（投标时提供相关资料及制造商加盖公章）</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bCs/>
          <w:color w:val="auto"/>
          <w:sz w:val="24"/>
          <w:szCs w:val="24"/>
        </w:rPr>
        <w:t>★立式储罐生产原料为食品级，储液桶须有省级卫生部门颁发的涉水产品卫生许可证</w:t>
      </w:r>
      <w:bookmarkStart w:id="1" w:name="_Toc12346838"/>
      <w:bookmarkStart w:id="2" w:name="_Toc527050843"/>
      <w:r>
        <w:rPr>
          <w:rFonts w:hint="eastAsia" w:ascii="宋体" w:hAnsi="宋体" w:eastAsia="宋体" w:cs="宋体"/>
          <w:b/>
          <w:bCs/>
          <w:color w:val="auto"/>
          <w:sz w:val="24"/>
          <w:szCs w:val="24"/>
        </w:rPr>
        <w:t>（</w:t>
      </w:r>
      <w:bookmarkEnd w:id="1"/>
      <w:bookmarkEnd w:id="2"/>
      <w:r>
        <w:rPr>
          <w:rFonts w:hint="eastAsia" w:ascii="宋体" w:hAnsi="宋体" w:eastAsia="宋体" w:cs="宋体"/>
          <w:b/>
          <w:bCs/>
          <w:color w:val="auto"/>
          <w:sz w:val="24"/>
          <w:szCs w:val="24"/>
        </w:rPr>
        <w:t>投标时提供</w:t>
      </w:r>
      <w:r>
        <w:rPr>
          <w:rFonts w:hint="eastAsia" w:ascii="宋体" w:hAnsi="宋体" w:eastAsia="宋体" w:cs="宋体"/>
          <w:b/>
          <w:color w:val="auto"/>
          <w:sz w:val="24"/>
          <w:szCs w:val="24"/>
        </w:rPr>
        <w:t>制造商出具针对本项目的授权函及</w:t>
      </w:r>
      <w:r>
        <w:rPr>
          <w:rFonts w:hint="eastAsia" w:ascii="宋体" w:hAnsi="宋体" w:eastAsia="宋体" w:cs="宋体"/>
          <w:b/>
          <w:bCs/>
          <w:color w:val="auto"/>
          <w:sz w:val="24"/>
          <w:szCs w:val="24"/>
        </w:rPr>
        <w:t>相关证书复印件及制造商加盖公章）</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超声波液位计</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量程：0-5m</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分辨率：1mm</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精度：±1 mm OR 0.2%</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供电：24VDC或220VA</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显示：清晰的多行文本图解显示、包络线显示</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输出：4-20mA</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过程连接：1-1/2”(5m)</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外壳材质：F16塑料透明显示盖</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工作温度：-40-60℃</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补偿：介质温度，带干扰信号抑制功能</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防护等级：IP68</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计量泵</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最大投加量：根据设备清单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最大工作压力：根据设备清单</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color w:val="auto"/>
          <w:sz w:val="24"/>
          <w:szCs w:val="24"/>
        </w:rPr>
        <w:t>★投加计量泵采用欧美原装进口数字隔膜计量泵，集成商需书面承诺在供货时提供报关单、商会原产地证明，投标时集成商提供制造商出具针对本项目的授权函。</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计量泵泵体采用步进电机驱动，电机内置在计量泵泵体内。计量泵自带液晶面板及操作按钮，液晶面板镶嵌在计量泵本体上，并至少有三个安装位置可供选择，计量泵控制面板带有透明防护罩，满足计量泵控制面板的电气防护要求。</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color w:val="auto"/>
          <w:sz w:val="24"/>
          <w:szCs w:val="24"/>
        </w:rPr>
        <w:t>★计量泵调节比为1：800，吸程不小于3米，可手动输入设定流量，也可以输入0/4-20mA</w:t>
      </w:r>
      <w:r>
        <w:rPr>
          <w:rFonts w:hint="eastAsia" w:ascii="宋体" w:hAnsi="宋体" w:eastAsia="宋体" w:cs="宋体"/>
          <w:b/>
          <w:smallCaps/>
          <w:color w:val="auto"/>
          <w:sz w:val="24"/>
          <w:szCs w:val="24"/>
        </w:rPr>
        <w:t>信号及输出报警信号</w:t>
      </w:r>
      <w:r>
        <w:rPr>
          <w:rFonts w:hint="eastAsia" w:ascii="宋体" w:hAnsi="宋体" w:eastAsia="宋体" w:cs="宋体"/>
          <w:b/>
          <w:color w:val="auto"/>
          <w:sz w:val="24"/>
          <w:szCs w:val="24"/>
        </w:rPr>
        <w:t>。</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计量泵设置在加药间内，计量泵通过流量信号自动调节药剂的投加量，也可手动输入投加量。在整个投加过程中，加注泵能安全、适度地通过最佳的药剂量。加注泵的材质应能抵抗介质的腐蚀。</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计量泵采用步进电机驱动，在不需要外接变频器或电动冲程长度调节装置的情况下实现流量自动调节。电子控制步进电机可对冲程速度进行最优控制。每次吸入过程的时间保持不变，每次排出过程的时间随设定流量的不同而变化，不论在任何的运行状态下都能提供最佳的出口流量。</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mallCaps/>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计量泵本身设有可读的液晶面板，可以手动输入设定流量，也可以通过显示屏直接读取流量（ml/h或者l/h）, 可显示累计投加流量、计量泵通电次数、计量泵总运行时间，界面友好，显示能容易地操作泵，能通过菜单来使用标准控制功能。液晶面板通过不同的颜色显示计量泵的运行状态，运行状态的颜色显示不少于4种，液晶面板还需显示计量泵的实际泵送流量，并通过模拟量信号输出该流量信号。面板同时有快速排气按钮，启动该按钮，计量泵可在短时间内以额定流量运行，快速排出计量泵内的气泡，保证计量泵的精度。计量泵可通过模拟量信号或通讯的方式自动调节流量，也可通过计量泵控制面板自带的调节旋钮手动调节计量泵的流量。在投加脱气性介质时，计量泵还需具备自动排气功能。</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color w:val="auto"/>
          <w:sz w:val="24"/>
          <w:szCs w:val="24"/>
        </w:rPr>
        <w:t>计量泵调节比率为1：800，可以在在最大计量流量的0.125 % 和100 % 范围之间运行。</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所有时间满冲程长度运行，在整个工作量程内所有冲程都被精确控制，使得系统在整个工作量程内始终能保证最佳投加。</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直流电机确保能对其进行精确控制，大流量数字计量泵的独特设计既不需要外接伺服马达/变频器，又能保证平稳的投加。</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可以实现慢模式控制，可调节吸入冲程到最大速度的50% 或25% 来保证传统计量泵难以投加的液体也能最佳吸入和投加。</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配置带模拟信号和数字信号接口。输入输出信号:脉冲控制信号；0/4-20mA输入；高低液位控制信号；外部开/关信号控制；报警输出；开/关按钮</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流量：根据设备清单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压力：根据设备清单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泵头材质：PVC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精度:±1.5%</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吸程高度:</w:t>
      </w:r>
      <w:r>
        <w:rPr>
          <w:rFonts w:hint="eastAsia" w:ascii="宋体" w:hAnsi="宋体" w:eastAsia="宋体" w:cs="宋体"/>
          <w:color w:val="auto"/>
          <w:sz w:val="24"/>
          <w:szCs w:val="24"/>
        </w:rPr>
        <w:tab/>
      </w:r>
      <w:r>
        <w:rPr>
          <w:rFonts w:hint="eastAsia" w:ascii="宋体" w:hAnsi="宋体" w:eastAsia="宋体" w:cs="宋体"/>
          <w:color w:val="auto"/>
          <w:sz w:val="24"/>
          <w:szCs w:val="24"/>
        </w:rPr>
        <w:t>4米</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驱动装置:240V,50Hz, IP65</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rPr>
        <w:t>计量泵加药系统应该包含计量泵组（铝合金型材），自动运行电气控制柜或接线盒，安装管路附件（多功能阀、阀门、Y型过滤器）等，形成一个完整 的系统。为避免堵塞，计量泵加药系统应配合理的管路冲洗设计</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★计量泵通过一体化撬装支架进行撬装，撬装支架采用铝合金型材尺寸依据设备清单。</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手动球阀</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口径：根据设备清单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材质：UPVC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标准：DIN/ANSI/JIS/CNS</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接口：承插接口</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双由令球阀，可同时当由令及程维修。在由令端有FPM或EPDM O"环，配合PTFE垫座之使用，能防止多数化学物质之腐蚀。不需使用特殊之工具，即可快速装配。</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电动球阀</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阀门使用。可在前段设备管路不必停工的状态下，关闭球阀，卸下由令，进行后段工</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可远程控制阀门的开关；通过触点反馈，自动切换阀门的开关。</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阀体材质：UPVC；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口径：根据设备清单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密封材质：EPDM/PTFE；</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传动方式：回转电动驱动；</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执行器材质：塑料外壳；</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保护装置：过热保护；</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动作时间：4－30秒；</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公称压力：1.0Mpa；</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流体温度：-15℃－60℃（无冻结）；</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环境温度：-25℃－55℃。</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必要的连接管道</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（管道要做好标签，线缆要套PVC管并注明标签）</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必要的连接管道包括系统总管和输出管。所有的管路应采用UPVC管。连接管道应附有阀门、弯头、法兰等。</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到加注点必要的连接管道、阀门和压力表按需配置并与泵的特性配套。</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材料：UPVC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产品标准：DIN</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接口：承插接口</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耐压等级：PN16</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输送介质：一般浓度无机酸、碱、盐</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标准：ANSI，JIS，DIN</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密封圈材质：EPDM</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★管路须获得</w:t>
      </w:r>
      <w:r>
        <w:rPr>
          <w:rFonts w:hint="eastAsia" w:ascii="宋体" w:hAnsi="宋体" w:eastAsia="宋体" w:cs="宋体"/>
          <w:b/>
          <w:bCs/>
          <w:color w:val="auto"/>
          <w:sz w:val="24"/>
          <w:szCs w:val="24"/>
        </w:rPr>
        <w:t>省级卫生部门颁发的涉水产品卫生许可证（</w:t>
      </w:r>
      <w:r>
        <w:rPr>
          <w:rFonts w:hint="eastAsia" w:ascii="宋体" w:hAnsi="宋体" w:eastAsia="宋体" w:cs="宋体"/>
          <w:b/>
          <w:color w:val="auto"/>
          <w:sz w:val="24"/>
          <w:szCs w:val="24"/>
        </w:rPr>
        <w:t>投标时提供相关证书复印件及制造商加盖公章）</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控制柜</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柜体尺寸：根据设备清单</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材质：根据设备清单</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PLC：西门子、施耐德、AB及同等品牌</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触摸屏：西门子、施耐德、AB及同等品牌，12吋</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电子元器件参考品牌：施耐德、西门子、ABB</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1、系统各设备的运行及报警显示；</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2、含触摸屏，操作参数和状态的显示；</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3、系统自动、手动切换；</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4、系统运行就地、远程手动、自动；</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5、相关参数的设定和修改。</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6、通过PLC实现药剂溶液的稀释、投加等全过程的自动控制，并能根据原水流量和水质情况对参数进行自动调整计量泵，实现投加量的自动调节，同时具备手动功能，预留以太网接口。</w:t>
      </w:r>
      <w:bookmarkStart w:id="3" w:name="_Toc518476688"/>
      <w:bookmarkEnd w:id="3"/>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电磁流量计</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连接方式：法兰连接，分体型</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连接口径：根据设备清单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精度：0.5%；</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测量范围：-12～12m/s；</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★电极材料：不锈钢；</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★衬里：橡胶；</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传感器防护等级:IP68；</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介质最高温度：最大180°C；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环境温度：-40°C～+65°C；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输出信号：4-20mA电流信号，脉冲输出，HART通讯。</w:t>
      </w:r>
    </w:p>
    <w:p>
      <w:pPr>
        <w:pStyle w:val="6"/>
        <w:pageBreakBefore w:val="0"/>
        <w:widowControl w:val="0"/>
        <w:tabs>
          <w:tab w:val="left" w:pos="7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聚合氯化铝系统性能要求</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储罐</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容积：10m³</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材质：食品级，PE加厚30%；</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盖直径：600mm；</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标准进出接口： DN65法兰；</w:t>
      </w:r>
    </w:p>
    <w:p>
      <w:pPr>
        <w:pageBreakBefore w:val="0"/>
        <w:widowControl w:val="0"/>
        <w:tabs>
          <w:tab w:val="left" w:pos="5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其他参数：储罐上预留排气口。</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★为防止药剂渗漏储罐接口法兰必须采用一体成型（投标时提供相关资料及制造商加盖公章）</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bCs/>
          <w:color w:val="auto"/>
          <w:sz w:val="24"/>
          <w:szCs w:val="24"/>
        </w:rPr>
        <w:t>★立式储罐生产原料为食品级，储液桶须有省级卫生部门颁发的涉水产品卫生许可证（投标时提供</w:t>
      </w:r>
      <w:r>
        <w:rPr>
          <w:rFonts w:hint="eastAsia" w:ascii="宋体" w:hAnsi="宋体" w:eastAsia="宋体" w:cs="宋体"/>
          <w:b/>
          <w:color w:val="auto"/>
          <w:sz w:val="24"/>
          <w:szCs w:val="24"/>
        </w:rPr>
        <w:t>制造商出具针对本项目的授权函及</w:t>
      </w:r>
      <w:r>
        <w:rPr>
          <w:rFonts w:hint="eastAsia" w:ascii="宋体" w:hAnsi="宋体" w:eastAsia="宋体" w:cs="宋体"/>
          <w:b/>
          <w:bCs/>
          <w:color w:val="auto"/>
          <w:sz w:val="24"/>
          <w:szCs w:val="24"/>
        </w:rPr>
        <w:t>相关证书复印件及制造商加盖公章）</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超声波液位计</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量程：0-5m</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分辨率：1mm</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精度：±1 mm OR 0.2%</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供电：24VDC或220VA</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显示：清晰的多行文本图解显示、包络线显示</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输出：4-20mA</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过程连接：1-1/2”(5m)</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外壳材质：F16塑料透明显示盖</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工作温度：-40-60℃</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补偿：介质温度，带干扰信号抑制功能</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防护等级：IP68</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计量泵</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最大投加量：根据设备清单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最大工作压力：根据设备清单</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color w:val="auto"/>
          <w:sz w:val="24"/>
          <w:szCs w:val="24"/>
        </w:rPr>
        <w:t>★投加计量泵采用欧美原装进口数字隔膜计量泵，集成商需书面承诺在供货时提供报关单、商会原产地证明，投标时集成商提供制造商出具针对本项目的授权函。</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计量泵泵体采用步进电机驱动，电机内置在计量泵泵体内。计量泵自带液晶面板及操作按钮，液晶面板镶嵌在计量泵本体上，并至少有三个安装位置可供选择，计量泵控制面板带有透明防护罩，满足计量泵控制面板的电气防护要求。</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color w:val="auto"/>
          <w:sz w:val="24"/>
          <w:szCs w:val="24"/>
        </w:rPr>
        <w:t>★计量泵调节比为1：800，吸程不小于3米，可手动输入设定流量，也可以输入0/4-20mA</w:t>
      </w:r>
      <w:r>
        <w:rPr>
          <w:rFonts w:hint="eastAsia" w:ascii="宋体" w:hAnsi="宋体" w:eastAsia="宋体" w:cs="宋体"/>
          <w:b/>
          <w:smallCaps/>
          <w:color w:val="auto"/>
          <w:sz w:val="24"/>
          <w:szCs w:val="24"/>
        </w:rPr>
        <w:t>信号及输出报警信号</w:t>
      </w:r>
      <w:r>
        <w:rPr>
          <w:rFonts w:hint="eastAsia" w:ascii="宋体" w:hAnsi="宋体" w:eastAsia="宋体" w:cs="宋体"/>
          <w:b/>
          <w:color w:val="auto"/>
          <w:sz w:val="24"/>
          <w:szCs w:val="24"/>
        </w:rPr>
        <w:t>。</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计量泵设置在加药间内，计量泵通过流量信号自动调节药剂的投加量，也可手动输入投加量。在整个投加过程中，加注泵能安全、适度地通过最佳的药剂量。加注泵的材质应能抵抗介质的腐蚀。</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计量泵采用步进电机驱动，在不需要外接变频器或电动冲程长度调节装置的情况下实现流量自动调节。电子控制步进电机可对冲程速度进行最优控制。每次吸入过程的时间保持不变，每次排出过程的时间随设定流量的不同而变化，不论在任何的运行状态下都能提供最佳的出口流量。</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mallCaps/>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计量泵本身设有可读的液晶面板，可以手动输入设定流量，也可以通过显示屏直接读取流量（ml/h或者l/h）, 可显示累计投加流量、计量泵通电次数、计量泵总运行时间，界面友好，显示能容易地操作泵，能通过菜单来使用标准控制功能。液晶面板通过不同的颜色显示计量泵的运行状态，运行状态的颜色显示不少于4种，液晶面板还需显示计量泵的实际泵送流量，并通过模拟量信号输出该流量信号。面板同时有快速排气按钮，启动该按钮，计量泵可在短时间内以额定流量运行，快速排出计量泵内的气泡，保证计量泵的精度。计量泵可通过模拟量信号或通讯的方式自动调节流量，也可通过计量泵控制面板自带的调节旋钮手动调节计量泵的流量。在投加脱气性介质时，计量泵还需具备自动排气功能。</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color w:val="auto"/>
          <w:sz w:val="24"/>
          <w:szCs w:val="24"/>
        </w:rPr>
        <w:t>计量泵调节比率为1：800，可以在在最大计量流量的0.125 % 和100 % 范围之间运行。</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所有时间满冲程长度运行，在整个工作量程内所有冲程都被精确控制，使得系统在整个工作量程内始终能保证最佳投加。</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直流电机确保能对其进行精确控制，大流量数字计量泵的独特设计既不需要外接伺服马达/变频器，又能保证平稳的投加。</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可以实现慢模式控制，可调节吸入冲程到最大速度的50% 或25% 来保证传统计量泵难以投加的液体也能最佳吸入和投加。</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配置带模拟信号和数字信号接口。输入输出信号:脉冲控制信号；0/4-20mA输入；高低液位控制信号；外部开/关信号控制；报警输出；开/关按钮</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流量：根据设备清单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压力：根据设备清单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泵头材质：PVC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精度:±1.5%</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吸程高度:</w:t>
      </w:r>
      <w:r>
        <w:rPr>
          <w:rFonts w:hint="eastAsia" w:ascii="宋体" w:hAnsi="宋体" w:eastAsia="宋体" w:cs="宋体"/>
          <w:color w:val="auto"/>
          <w:sz w:val="24"/>
          <w:szCs w:val="24"/>
        </w:rPr>
        <w:tab/>
      </w:r>
      <w:r>
        <w:rPr>
          <w:rFonts w:hint="eastAsia" w:ascii="宋体" w:hAnsi="宋体" w:eastAsia="宋体" w:cs="宋体"/>
          <w:color w:val="auto"/>
          <w:sz w:val="24"/>
          <w:szCs w:val="24"/>
        </w:rPr>
        <w:t>4米</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mallCaps/>
          <w:color w:val="auto"/>
          <w:sz w:val="24"/>
          <w:szCs w:val="24"/>
        </w:rPr>
      </w:pPr>
      <w:r>
        <w:rPr>
          <w:rFonts w:hint="eastAsia" w:ascii="宋体" w:hAnsi="宋体" w:eastAsia="宋体" w:cs="宋体"/>
          <w:color w:val="auto"/>
          <w:sz w:val="24"/>
          <w:szCs w:val="24"/>
        </w:rPr>
        <w:t>驱动装置:240V,50Hz, IP65</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rPr>
        <w:t>计量泵加药系统应该包含计量泵组（铝合金型材），自动运行电气控制柜或接线盒，安装管路附件（多功能阀、阀门、Y型过滤器）等，形成一个完整 的系统。为避免堵塞，计量泵加药系统应配合理的管路冲洗设计</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mallCaps/>
          <w:color w:val="auto"/>
          <w:sz w:val="24"/>
          <w:szCs w:val="24"/>
        </w:rPr>
      </w:pPr>
      <w:r>
        <w:rPr>
          <w:rFonts w:hint="eastAsia" w:ascii="宋体" w:hAnsi="宋体" w:eastAsia="宋体" w:cs="宋体"/>
          <w:b/>
          <w:color w:val="auto"/>
          <w:sz w:val="24"/>
          <w:szCs w:val="24"/>
        </w:rPr>
        <w:t>★计量泵通过一体化撬装支架进行撬装，撬装支架采用铝合金型材尺寸依据设备清单。</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手动球阀</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口径：根据设备清单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材质：UPVC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标准：DIN/ANSI/JIS/CNS</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接口：承插接口</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双由令球阀，可同时当由令及程维修。在由令端有FPM或EPDM O"环，配合PTFE垫座之使用，能防止多数化学物质之腐蚀。不需使用特殊之工具，即可快速装配。</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电动球阀</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阀门使用。可在前段设备管路不必停工的状态下，关闭球阀，卸下由令，进行后段工</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可远程控制阀门的开关；通过触点反馈，自动切换阀门的开关。</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阀体材质：UPVC；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口径：根据设备清单</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密封材质：EPDM/PTFE；</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传动方式：回转电动驱动；</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执行器材质：塑料外壳；</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保护装置：过热保护；</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动作时间：4－30秒；</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公称压力：1.0Mpa；</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流体温度：-15℃－60℃（无冻结）；</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环境温度：-25℃－55℃。</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必要的连接管道</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（管道要做好标签，线缆要套PVC管并注明标签）</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必要的连接管道包括系统总管和输出管。所有的管路应采用UPVC管。连接管道应附有阀门、弯头、法兰等。</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到加注点必要的连接管道、阀门和压力表按需配置并与泵的特性配套。</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材料：UPVC</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产品标准：DIN</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接口：承插接口</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耐压等级：PN16</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输送介质：一般浓度无机酸、碱、盐</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标准：ANSI，JIS，DIN</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密封圈材质：EPDM</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★管路须获得</w:t>
      </w:r>
      <w:r>
        <w:rPr>
          <w:rFonts w:hint="eastAsia" w:ascii="宋体" w:hAnsi="宋体" w:eastAsia="宋体" w:cs="宋体"/>
          <w:b/>
          <w:bCs/>
          <w:color w:val="auto"/>
          <w:sz w:val="24"/>
          <w:szCs w:val="24"/>
        </w:rPr>
        <w:t>省级卫生部门颁发的涉水产品卫生许可证（</w:t>
      </w:r>
      <w:r>
        <w:rPr>
          <w:rFonts w:hint="eastAsia" w:ascii="宋体" w:hAnsi="宋体" w:eastAsia="宋体" w:cs="宋体"/>
          <w:b/>
          <w:color w:val="auto"/>
          <w:sz w:val="24"/>
          <w:szCs w:val="24"/>
        </w:rPr>
        <w:t>投标时提供相关证书复印件及制造商加盖公章）</w:t>
      </w:r>
    </w:p>
    <w:p>
      <w:pPr>
        <w:pStyle w:val="7"/>
        <w:pageBreakBefore w:val="0"/>
        <w:widowControl w:val="0"/>
        <w:tabs>
          <w:tab w:val="left" w:pos="86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控制柜</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柜体尺寸：根据设备清单</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材质：根据设备清单</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PLC：西门子、施耐德、AB及同等品牌</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触摸屏：西门子、施耐德、AB及同等品牌，12吋</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电子元器件参考品牌：施耐德、西门子、ABB</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1、系统各设备的运行及报警显示；</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2、含触摸屏，操作参数和状态的显示；</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3、系统自动、手动切换；</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4、系统运行就地、远程手动、自动；</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5、相关参数的设定和修改。</w:t>
      </w:r>
    </w:p>
    <w:p>
      <w:pPr>
        <w:pStyle w:val="9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6、通过PLC实现投加等全过程的自动控制，并能根据原水流量和水质情况对参数进行自动调整计量泵，实现投加量的自动调节，同时具备手动功能，预留以太网接口。</w:t>
      </w:r>
    </w:p>
    <w:p>
      <w:pPr>
        <w:pStyle w:val="88"/>
        <w:numPr>
          <w:ilvl w:val="0"/>
          <w:numId w:val="0"/>
        </w:numPr>
        <w:ind w:leftChars="0"/>
        <w:rPr>
          <w:rFonts w:hint="eastAsia" w:ascii="Times New Roman" w:hAnsi="Times New Roman" w:cs="宋体"/>
          <w:b/>
          <w:bCs/>
          <w:color w:val="auto"/>
          <w:highlight w:val="none"/>
        </w:rPr>
      </w:pPr>
    </w:p>
    <w:p>
      <w:pPr>
        <w:tabs>
          <w:tab w:val="left" w:pos="8280"/>
        </w:tabs>
        <w:autoSpaceDE w:val="0"/>
        <w:autoSpaceDN w:val="0"/>
        <w:adjustRightInd w:val="0"/>
        <w:spacing w:line="360" w:lineRule="auto"/>
        <w:ind w:right="23"/>
        <w:jc w:val="center"/>
        <w:outlineLvl w:val="1"/>
        <w:rPr>
          <w:rFonts w:hint="eastAsia" w:ascii="宋体" w:hAnsi="宋体" w:cs="宋体"/>
          <w:b/>
          <w:bCs/>
          <w:color w:val="auto"/>
          <w:sz w:val="32"/>
          <w:szCs w:val="32"/>
          <w:highlight w:val="none"/>
        </w:rPr>
      </w:pPr>
    </w:p>
    <w:p>
      <w:pPr>
        <w:tabs>
          <w:tab w:val="left" w:pos="8280"/>
        </w:tabs>
        <w:autoSpaceDE w:val="0"/>
        <w:autoSpaceDN w:val="0"/>
        <w:adjustRightInd w:val="0"/>
        <w:spacing w:line="360" w:lineRule="auto"/>
        <w:ind w:right="23"/>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第二节     商务要求</w:t>
      </w:r>
    </w:p>
    <w:p>
      <w:pPr>
        <w:tabs>
          <w:tab w:val="left" w:pos="180"/>
          <w:tab w:val="left" w:pos="360"/>
          <w:tab w:val="left" w:pos="540"/>
          <w:tab w:val="left" w:pos="8280"/>
        </w:tabs>
        <w:autoSpaceDE w:val="0"/>
        <w:autoSpaceDN w:val="0"/>
        <w:adjustRightInd w:val="0"/>
        <w:spacing w:line="360" w:lineRule="auto"/>
        <w:ind w:right="23" w:firstLine="482" w:firstLineChars="200"/>
        <w:jc w:val="left"/>
        <w:rPr>
          <w:rFonts w:ascii="宋体"/>
          <w:color w:val="auto"/>
          <w:sz w:val="24"/>
          <w:szCs w:val="24"/>
          <w:highlight w:val="none"/>
        </w:rPr>
      </w:pPr>
      <w:r>
        <w:rPr>
          <w:rFonts w:hint="eastAsia" w:ascii="宋体" w:cs="宋体"/>
          <w:b/>
          <w:bCs/>
          <w:color w:val="auto"/>
          <w:kern w:val="0"/>
          <w:sz w:val="24"/>
          <w:szCs w:val="24"/>
          <w:highlight w:val="none"/>
        </w:rPr>
        <w:t>一、</w:t>
      </w:r>
      <w:r>
        <w:rPr>
          <w:rFonts w:hint="eastAsia" w:ascii="宋体" w:cs="宋体"/>
          <w:b/>
          <w:bCs/>
          <w:color w:val="auto"/>
          <w:kern w:val="0"/>
          <w:sz w:val="24"/>
          <w:szCs w:val="24"/>
          <w:highlight w:val="none"/>
          <w:lang w:eastAsia="zh-CN"/>
        </w:rPr>
        <w:t>交货期</w:t>
      </w:r>
      <w:r>
        <w:rPr>
          <w:rFonts w:hint="eastAsia" w:ascii="宋体" w:cs="宋体"/>
          <w:b/>
          <w:bCs/>
          <w:color w:val="auto"/>
          <w:kern w:val="0"/>
          <w:sz w:val="24"/>
          <w:szCs w:val="24"/>
          <w:highlight w:val="none"/>
        </w:rPr>
        <w:t>：</w:t>
      </w:r>
      <w:r>
        <w:rPr>
          <w:rFonts w:hint="eastAsia" w:cs="宋体"/>
          <w:color w:val="auto"/>
          <w:sz w:val="24"/>
          <w:szCs w:val="24"/>
          <w:highlight w:val="none"/>
        </w:rPr>
        <w:t>自签订合同之日起</w:t>
      </w:r>
      <w:r>
        <w:rPr>
          <w:rFonts w:hint="eastAsia" w:cs="宋体"/>
          <w:color w:val="auto"/>
          <w:sz w:val="24"/>
          <w:szCs w:val="24"/>
          <w:highlight w:val="none"/>
          <w:lang w:val="en-US" w:eastAsia="zh-CN"/>
        </w:rPr>
        <w:t>60</w:t>
      </w:r>
      <w:r>
        <w:rPr>
          <w:rFonts w:hint="eastAsia" w:cs="宋体"/>
          <w:color w:val="auto"/>
          <w:sz w:val="24"/>
          <w:szCs w:val="24"/>
          <w:highlight w:val="none"/>
        </w:rPr>
        <w:t>个日历天内完成供货、安装。</w:t>
      </w:r>
    </w:p>
    <w:p>
      <w:pPr>
        <w:numPr>
          <w:ilvl w:val="0"/>
          <w:numId w:val="14"/>
        </w:numPr>
        <w:tabs>
          <w:tab w:val="left" w:pos="8280"/>
        </w:tabs>
        <w:autoSpaceDE w:val="0"/>
        <w:autoSpaceDN w:val="0"/>
        <w:adjustRightInd w:val="0"/>
        <w:spacing w:line="360" w:lineRule="auto"/>
        <w:ind w:right="23" w:firstLine="482" w:firstLineChars="200"/>
        <w:jc w:val="left"/>
        <w:outlineLvl w:val="2"/>
        <w:rPr>
          <w:rFonts w:ascii="宋体"/>
          <w:b/>
          <w:bCs/>
          <w:color w:val="auto"/>
          <w:kern w:val="0"/>
          <w:sz w:val="24"/>
          <w:szCs w:val="24"/>
          <w:highlight w:val="none"/>
        </w:rPr>
      </w:pPr>
      <w:r>
        <w:rPr>
          <w:rFonts w:hint="eastAsia" w:ascii="宋体" w:cs="宋体"/>
          <w:b/>
          <w:bCs/>
          <w:color w:val="auto"/>
          <w:kern w:val="0"/>
          <w:sz w:val="24"/>
          <w:szCs w:val="24"/>
          <w:highlight w:val="none"/>
        </w:rPr>
        <w:t>付款方式：</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23" w:righ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合同签订生效后，买方向卖方支付合同总价的</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%作为预付款。</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23" w:righ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全部设备安装完成并调试合格后，支付至合同总价的</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rPr>
        <w:t>%。</w:t>
      </w:r>
    </w:p>
    <w:p>
      <w:pPr>
        <w:numPr>
          <w:ilvl w:val="0"/>
          <w:numId w:val="14"/>
        </w:numPr>
        <w:tabs>
          <w:tab w:val="left" w:pos="8280"/>
        </w:tabs>
        <w:autoSpaceDE w:val="0"/>
        <w:autoSpaceDN w:val="0"/>
        <w:adjustRightInd w:val="0"/>
        <w:spacing w:line="360" w:lineRule="auto"/>
        <w:ind w:right="23" w:firstLine="482" w:firstLineChars="200"/>
        <w:jc w:val="left"/>
        <w:rPr>
          <w:rFonts w:hint="eastAsia" w:ascii="宋体" w:cs="宋体"/>
          <w:color w:val="auto"/>
          <w:kern w:val="0"/>
          <w:sz w:val="24"/>
          <w:szCs w:val="24"/>
          <w:highlight w:val="none"/>
        </w:rPr>
      </w:pPr>
      <w:r>
        <w:rPr>
          <w:rFonts w:hint="eastAsia" w:ascii="宋体" w:cs="宋体"/>
          <w:b/>
          <w:bCs/>
          <w:color w:val="auto"/>
          <w:kern w:val="0"/>
          <w:sz w:val="24"/>
          <w:szCs w:val="24"/>
          <w:highlight w:val="none"/>
        </w:rPr>
        <w:t>履约保证金：</w:t>
      </w:r>
      <w:r>
        <w:rPr>
          <w:rFonts w:hint="eastAsia" w:ascii="宋体" w:cs="宋体"/>
          <w:b/>
          <w:bCs/>
          <w:color w:val="auto"/>
          <w:kern w:val="0"/>
          <w:sz w:val="24"/>
          <w:szCs w:val="24"/>
          <w:highlight w:val="none"/>
          <w:lang w:val="en-US" w:eastAsia="zh-CN"/>
        </w:rPr>
        <w:t>/</w:t>
      </w:r>
    </w:p>
    <w:p>
      <w:pPr>
        <w:numPr>
          <w:ilvl w:val="0"/>
          <w:numId w:val="14"/>
        </w:numPr>
        <w:tabs>
          <w:tab w:val="left" w:pos="8280"/>
        </w:tabs>
        <w:autoSpaceDE w:val="0"/>
        <w:autoSpaceDN w:val="0"/>
        <w:adjustRightInd w:val="0"/>
        <w:spacing w:line="360" w:lineRule="auto"/>
        <w:ind w:right="23" w:firstLine="482" w:firstLineChars="200"/>
        <w:jc w:val="left"/>
        <w:rPr>
          <w:rFonts w:ascii="宋体"/>
          <w:b/>
          <w:bCs/>
          <w:color w:val="auto"/>
          <w:kern w:val="0"/>
          <w:sz w:val="24"/>
          <w:szCs w:val="24"/>
          <w:highlight w:val="none"/>
        </w:rPr>
      </w:pPr>
      <w:r>
        <w:rPr>
          <w:rFonts w:hint="eastAsia" w:ascii="宋体" w:cs="宋体"/>
          <w:b/>
          <w:bCs/>
          <w:color w:val="auto"/>
          <w:kern w:val="0"/>
          <w:sz w:val="24"/>
          <w:szCs w:val="24"/>
          <w:highlight w:val="none"/>
        </w:rPr>
        <w:t>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rPr>
        <w:t>1</w:t>
      </w: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rPr>
        <w:t>本次招标的所有设备的质量保证期为：至设备安装完成，经调试、试运行合格，经合同双方签署验收纪要后至少</w:t>
      </w:r>
      <w:r>
        <w:rPr>
          <w:rFonts w:hint="eastAsia" w:ascii="宋体" w:cs="宋体"/>
          <w:b/>
          <w:bCs/>
          <w:color w:val="auto"/>
          <w:kern w:val="0"/>
          <w:sz w:val="24"/>
          <w:szCs w:val="24"/>
          <w:highlight w:val="none"/>
        </w:rPr>
        <w:t>提供</w:t>
      </w:r>
      <w:r>
        <w:rPr>
          <w:rFonts w:hint="eastAsia" w:ascii="宋体" w:cs="宋体"/>
          <w:b/>
          <w:bCs/>
          <w:color w:val="auto"/>
          <w:kern w:val="0"/>
          <w:sz w:val="24"/>
          <w:szCs w:val="24"/>
          <w:highlight w:val="none"/>
          <w:lang w:val="en-US" w:eastAsia="zh-CN"/>
        </w:rPr>
        <w:t>1</w:t>
      </w:r>
      <w:r>
        <w:rPr>
          <w:rFonts w:hint="eastAsia" w:ascii="宋体" w:cs="宋体"/>
          <w:b/>
          <w:bCs/>
          <w:color w:val="auto"/>
          <w:kern w:val="0"/>
          <w:sz w:val="24"/>
          <w:szCs w:val="24"/>
          <w:highlight w:val="none"/>
        </w:rPr>
        <w:t>年的质保期</w:t>
      </w:r>
      <w:r>
        <w:rPr>
          <w:rFonts w:hint="eastAsia" w:ascii="宋体" w:cs="宋体"/>
          <w:color w:val="auto"/>
          <w:kern w:val="0"/>
          <w:sz w:val="24"/>
          <w:szCs w:val="24"/>
          <w:highlight w:val="none"/>
        </w:rPr>
        <w:t>。在产品质量保证期内，中标人应对由于设计、制造或材料的缺陷而产生的故障负全责。如在质保期内设备发生故障，经排除恢复正常运后，其质量保证期应从恢复正常运之日起重新计算（除非招标人自动放弃延长质保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lang w:val="en-US" w:eastAsia="zh-CN"/>
        </w:rPr>
        <w:t>2、</w:t>
      </w:r>
      <w:r>
        <w:rPr>
          <w:rFonts w:hint="eastAsia" w:ascii="宋体" w:cs="宋体"/>
          <w:color w:val="auto"/>
          <w:kern w:val="0"/>
          <w:sz w:val="24"/>
          <w:szCs w:val="24"/>
          <w:highlight w:val="none"/>
        </w:rPr>
        <w:t>中标人在质保期内的工作应包括对所有机组系统的常规检查、调整等。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lang w:val="en-US" w:eastAsia="zh-CN"/>
        </w:rPr>
        <w:t>3、</w:t>
      </w:r>
      <w:r>
        <w:rPr>
          <w:rFonts w:hint="eastAsia" w:ascii="宋体" w:cs="宋体"/>
          <w:color w:val="auto"/>
          <w:kern w:val="0"/>
          <w:sz w:val="24"/>
          <w:szCs w:val="24"/>
          <w:highlight w:val="none"/>
        </w:rPr>
        <w:t>质保期内中标人须自行付费负责修理和更换任何由于设备自身的质量问题造成的损坏及故障。修好后，中标人需一式两份报告给招标人，包括故障原因，解决措施，完成修理所需时间及恢复正常运行日期。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lang w:val="en-US" w:eastAsia="zh-CN"/>
        </w:rPr>
        <w:t>4、</w:t>
      </w:r>
      <w:r>
        <w:rPr>
          <w:rFonts w:hint="eastAsia" w:ascii="宋体" w:cs="宋体"/>
          <w:color w:val="auto"/>
          <w:kern w:val="0"/>
          <w:sz w:val="24"/>
          <w:szCs w:val="24"/>
          <w:highlight w:val="none"/>
        </w:rPr>
        <w:t>维修点须设在台州市附近，维修点需提供足够的备件以适应本工程维修需求，以处理所有的维修服务，它需提供 24小时服务，而且维修人员需在接到维修电话后 2小时内响应， 4小时内 赶到现场，并提出维修结论或重新开机，并提供不间断的服务直到结束。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36"/>
          <w:szCs w:val="36"/>
          <w:highlight w:val="none"/>
        </w:rPr>
      </w:pPr>
      <w:r>
        <w:rPr>
          <w:rFonts w:hint="eastAsia" w:ascii="宋体" w:cs="宋体"/>
          <w:color w:val="auto"/>
          <w:kern w:val="0"/>
          <w:sz w:val="24"/>
          <w:szCs w:val="24"/>
          <w:highlight w:val="none"/>
          <w:lang w:val="en-US" w:eastAsia="zh-CN"/>
        </w:rPr>
        <w:t>5、</w:t>
      </w:r>
      <w:r>
        <w:rPr>
          <w:rFonts w:hint="eastAsia" w:ascii="宋体" w:cs="宋体"/>
          <w:color w:val="auto"/>
          <w:kern w:val="0"/>
          <w:sz w:val="24"/>
          <w:szCs w:val="24"/>
          <w:highlight w:val="none"/>
        </w:rPr>
        <w:t>在质量保证期满时，中标人工程师和招标人代表将对设备进行再一次测试，任何故障须由中标人自费解决并取得招标人的认可。</w:t>
      </w:r>
      <w:r>
        <w:rPr>
          <w:rFonts w:hint="eastAsia" w:ascii="宋体" w:hAnsi="宋体" w:cs="宋体"/>
          <w:b/>
          <w:bCs/>
          <w:color w:val="auto"/>
          <w:sz w:val="36"/>
          <w:szCs w:val="36"/>
          <w:highlight w:val="none"/>
        </w:rPr>
        <w:br w:type="page"/>
      </w: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2"/>
          <w:szCs w:val="32"/>
          <w:highlight w:val="none"/>
        </w:rPr>
        <w:t>合同主要条款</w:t>
      </w:r>
    </w:p>
    <w:p>
      <w:pPr>
        <w:snapToGrid w:val="0"/>
        <w:spacing w:line="360" w:lineRule="auto"/>
        <w:jc w:val="center"/>
        <w:rPr>
          <w:rFonts w:ascii="宋体"/>
          <w:b/>
          <w:bCs/>
          <w:color w:val="auto"/>
          <w:sz w:val="30"/>
          <w:szCs w:val="30"/>
          <w:highlight w:val="none"/>
        </w:rPr>
      </w:pPr>
      <w:r>
        <w:rPr>
          <w:rFonts w:hint="eastAsia" w:ascii="宋体" w:hAnsi="宋体" w:cs="宋体"/>
          <w:b/>
          <w:bCs/>
          <w:color w:val="auto"/>
          <w:sz w:val="30"/>
          <w:szCs w:val="30"/>
          <w:highlight w:val="none"/>
        </w:rPr>
        <w:t>采购合同主要条款指引</w:t>
      </w:r>
    </w:p>
    <w:p>
      <w:pPr>
        <w:widowControl/>
        <w:spacing w:line="400" w:lineRule="exact"/>
        <w:jc w:val="left"/>
        <w:rPr>
          <w:rFonts w:ascii="宋体"/>
          <w:color w:val="auto"/>
          <w:kern w:val="0"/>
          <w:sz w:val="24"/>
          <w:szCs w:val="24"/>
        </w:rPr>
      </w:pPr>
      <w:r>
        <w:rPr>
          <w:rFonts w:hint="eastAsia" w:ascii="宋体" w:hAnsi="宋体" w:cs="宋体"/>
          <w:color w:val="auto"/>
          <w:kern w:val="0"/>
          <w:sz w:val="24"/>
          <w:szCs w:val="24"/>
        </w:rPr>
        <w:t>项目名称：</w:t>
      </w:r>
      <w:r>
        <w:rPr>
          <w:rFonts w:ascii="宋体" w:hAnsi="宋体" w:cs="宋体"/>
          <w:color w:val="auto"/>
          <w:kern w:val="0"/>
          <w:sz w:val="24"/>
          <w:szCs w:val="24"/>
        </w:rPr>
        <w:t xml:space="preserve">                                       </w:t>
      </w:r>
      <w:r>
        <w:rPr>
          <w:rFonts w:hint="eastAsia" w:ascii="宋体" w:hAnsi="宋体" w:cs="宋体"/>
          <w:color w:val="auto"/>
          <w:kern w:val="0"/>
          <w:sz w:val="24"/>
          <w:szCs w:val="24"/>
        </w:rPr>
        <w:t>项目编号：</w:t>
      </w:r>
    </w:p>
    <w:p>
      <w:pPr>
        <w:widowControl/>
        <w:spacing w:line="400" w:lineRule="exact"/>
        <w:jc w:val="left"/>
        <w:rPr>
          <w:rFonts w:ascii="宋体"/>
          <w:color w:val="auto"/>
          <w:kern w:val="0"/>
          <w:sz w:val="24"/>
          <w:szCs w:val="24"/>
          <w:u w:val="single"/>
        </w:rPr>
      </w:pPr>
      <w:r>
        <w:rPr>
          <w:rFonts w:hint="eastAsia" w:ascii="宋体" w:hAnsi="宋体" w:cs="宋体"/>
          <w:color w:val="auto"/>
          <w:kern w:val="0"/>
          <w:sz w:val="24"/>
          <w:szCs w:val="24"/>
        </w:rPr>
        <w:t>甲方：（采购单位）</w:t>
      </w:r>
    </w:p>
    <w:p>
      <w:pPr>
        <w:pStyle w:val="15"/>
        <w:snapToGrid w:val="0"/>
        <w:spacing w:line="360" w:lineRule="auto"/>
        <w:rPr>
          <w:rFonts w:hAnsi="宋体" w:cs="Times New Roman"/>
          <w:color w:val="auto"/>
          <w:sz w:val="24"/>
          <w:szCs w:val="24"/>
          <w:u w:val="single"/>
        </w:rPr>
      </w:pPr>
      <w:r>
        <w:rPr>
          <w:rFonts w:hint="eastAsia" w:hAnsi="宋体"/>
          <w:color w:val="auto"/>
          <w:sz w:val="24"/>
          <w:szCs w:val="24"/>
        </w:rPr>
        <w:t>乙方：（成交供应商）</w:t>
      </w:r>
      <w:r>
        <w:rPr>
          <w:rFonts w:hAnsi="宋体"/>
          <w:color w:val="auto"/>
          <w:sz w:val="24"/>
          <w:szCs w:val="24"/>
        </w:rPr>
        <w:t xml:space="preserve">   </w:t>
      </w:r>
    </w:p>
    <w:p>
      <w:pPr>
        <w:pStyle w:val="15"/>
        <w:snapToGrid w:val="0"/>
        <w:spacing w:line="360" w:lineRule="auto"/>
        <w:rPr>
          <w:rFonts w:hAnsi="宋体" w:cs="Times New Roman"/>
          <w:b/>
          <w:bCs/>
          <w:color w:val="auto"/>
          <w:sz w:val="24"/>
          <w:szCs w:val="24"/>
        </w:rPr>
      </w:pPr>
      <w:r>
        <w:rPr>
          <w:rFonts w:hint="eastAsia" w:hAnsi="宋体"/>
          <w:color w:val="auto"/>
          <w:sz w:val="24"/>
          <w:szCs w:val="24"/>
        </w:rPr>
        <w:t>甲、乙双方根据关于</w:t>
      </w:r>
      <w:r>
        <w:rPr>
          <w:rFonts w:hAnsi="宋体"/>
          <w:color w:val="auto"/>
          <w:sz w:val="24"/>
          <w:szCs w:val="24"/>
          <w:u w:val="single"/>
        </w:rPr>
        <w:t xml:space="preserve">                             </w:t>
      </w:r>
      <w:r>
        <w:rPr>
          <w:rFonts w:hint="eastAsia" w:hAnsi="宋体"/>
          <w:color w:val="auto"/>
          <w:sz w:val="24"/>
          <w:szCs w:val="24"/>
        </w:rPr>
        <w:t>项目公开招标的结果，签署本合同。</w:t>
      </w:r>
    </w:p>
    <w:p>
      <w:pPr>
        <w:pStyle w:val="15"/>
        <w:snapToGrid w:val="0"/>
        <w:spacing w:line="360" w:lineRule="auto"/>
        <w:rPr>
          <w:rFonts w:cs="Times New Roman"/>
          <w:color w:val="auto"/>
        </w:rPr>
      </w:pPr>
      <w:r>
        <w:rPr>
          <w:rFonts w:hint="eastAsia" w:hAnsi="宋体"/>
          <w:b/>
          <w:bCs/>
          <w:color w:val="auto"/>
          <w:sz w:val="24"/>
          <w:szCs w:val="24"/>
        </w:rPr>
        <w:t>一、</w:t>
      </w:r>
      <w:r>
        <w:rPr>
          <w:rFonts w:hint="eastAsia" w:hAnsi="宋体"/>
          <w:b/>
          <w:bCs/>
          <w:color w:val="auto"/>
          <w:sz w:val="24"/>
          <w:szCs w:val="24"/>
          <w:lang w:val="en-US" w:eastAsia="zh-CN"/>
        </w:rPr>
        <w:t>货物</w:t>
      </w:r>
      <w:r>
        <w:rPr>
          <w:rFonts w:hint="eastAsia" w:hAnsi="宋体"/>
          <w:b/>
          <w:bCs/>
          <w:color w:val="auto"/>
          <w:sz w:val="24"/>
          <w:szCs w:val="24"/>
        </w:rPr>
        <w:t>内容：</w:t>
      </w:r>
    </w:p>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 货物名称：</w:t>
      </w:r>
    </w:p>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 数量（单位）：</w:t>
      </w:r>
    </w:p>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 质量标准：产品的质量、技术标准达到国家验收规范合格标准及招标文件要求和投标文件中的承诺，若不同标准之间不一致的，以要求较高者为准。</w:t>
      </w:r>
    </w:p>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 型号规格：</w:t>
      </w:r>
    </w:p>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 技术参数：</w:t>
      </w:r>
    </w:p>
    <w:p>
      <w:pPr>
        <w:pStyle w:val="15"/>
        <w:snapToGrid w:val="0"/>
        <w:spacing w:line="360" w:lineRule="auto"/>
        <w:rPr>
          <w:rFonts w:hint="eastAsia" w:hAnsi="宋体" w:cs="Times New Roman"/>
          <w:b/>
          <w:bCs/>
          <w:color w:val="auto"/>
          <w:sz w:val="24"/>
          <w:szCs w:val="24"/>
        </w:rPr>
      </w:pPr>
      <w:r>
        <w:rPr>
          <w:rFonts w:hint="eastAsia" w:hAnsi="宋体"/>
          <w:b/>
          <w:bCs/>
          <w:color w:val="auto"/>
          <w:sz w:val="24"/>
          <w:szCs w:val="24"/>
        </w:rPr>
        <w:t>二、价款支付</w:t>
      </w:r>
    </w:p>
    <w:p>
      <w:pPr>
        <w:pStyle w:val="15"/>
        <w:snapToGrid w:val="0"/>
        <w:spacing w:line="360" w:lineRule="auto"/>
        <w:ind w:left="31680" w:hanging="410" w:hangingChars="171"/>
        <w:rPr>
          <w:rFonts w:hint="eastAsia" w:hAnsi="宋体"/>
          <w:color w:val="auto"/>
          <w:sz w:val="24"/>
          <w:szCs w:val="24"/>
        </w:rPr>
      </w:pPr>
      <w:r>
        <w:rPr>
          <w:rFonts w:hint="eastAsia" w:hAnsi="宋体"/>
          <w:color w:val="auto"/>
          <w:sz w:val="24"/>
          <w:szCs w:val="24"/>
          <w:lang w:val="en-US" w:eastAsia="zh-CN"/>
        </w:rPr>
        <w:t>2.1</w:t>
      </w:r>
      <w:r>
        <w:rPr>
          <w:rFonts w:hint="eastAsia" w:hAnsi="宋体"/>
          <w:color w:val="auto"/>
          <w:sz w:val="24"/>
          <w:szCs w:val="24"/>
        </w:rPr>
        <w:t>本合同金额为（大写）：</w:t>
      </w:r>
      <w:r>
        <w:rPr>
          <w:rFonts w:hAnsi="宋体"/>
          <w:color w:val="auto"/>
          <w:sz w:val="24"/>
          <w:szCs w:val="24"/>
        </w:rPr>
        <w:t>__________________________</w:t>
      </w:r>
      <w:r>
        <w:rPr>
          <w:rFonts w:hint="eastAsia" w:hAnsi="宋体"/>
          <w:color w:val="auto"/>
          <w:sz w:val="24"/>
          <w:szCs w:val="24"/>
        </w:rPr>
        <w:t>元（￥</w:t>
      </w:r>
      <w:r>
        <w:rPr>
          <w:rFonts w:hAnsi="宋体"/>
          <w:color w:val="auto"/>
          <w:sz w:val="24"/>
          <w:szCs w:val="24"/>
        </w:rPr>
        <w:t>_______________</w:t>
      </w:r>
      <w:r>
        <w:rPr>
          <w:rFonts w:hint="eastAsia" w:hAnsi="宋体"/>
          <w:color w:val="auto"/>
          <w:sz w:val="24"/>
          <w:szCs w:val="24"/>
        </w:rPr>
        <w:t>元）</w:t>
      </w:r>
    </w:p>
    <w:p>
      <w:pPr>
        <w:tabs>
          <w:tab w:val="left" w:pos="180"/>
          <w:tab w:val="left" w:pos="360"/>
          <w:tab w:val="left" w:pos="540"/>
          <w:tab w:val="left" w:pos="8280"/>
        </w:tabs>
        <w:autoSpaceDE w:val="0"/>
        <w:autoSpaceDN w:val="0"/>
        <w:adjustRightInd w:val="0"/>
        <w:spacing w:line="440" w:lineRule="exact"/>
        <w:ind w:right="23"/>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2.2 付款方式： </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ind w:right="23" w:firstLine="480" w:firstLineChars="200"/>
        <w:jc w:val="left"/>
        <w:textAlignment w:val="auto"/>
        <w:rPr>
          <w:rFonts w:hint="eastAsia" w:hAnsi="宋体"/>
          <w:color w:val="auto"/>
          <w:sz w:val="24"/>
          <w:szCs w:val="24"/>
        </w:rPr>
      </w:pPr>
      <w:r>
        <w:rPr>
          <w:rFonts w:hint="eastAsia" w:hAnsi="宋体"/>
          <w:color w:val="auto"/>
          <w:sz w:val="24"/>
          <w:szCs w:val="24"/>
        </w:rPr>
        <w:t xml:space="preserve">                                         </w:t>
      </w:r>
    </w:p>
    <w:p>
      <w:pPr>
        <w:pStyle w:val="15"/>
        <w:snapToGrid w:val="0"/>
        <w:spacing w:line="360" w:lineRule="auto"/>
        <w:rPr>
          <w:rFonts w:hAnsi="宋体" w:cs="Times New Roman"/>
          <w:b/>
          <w:bCs/>
          <w:color w:val="auto"/>
          <w:sz w:val="24"/>
          <w:szCs w:val="24"/>
        </w:rPr>
      </w:pPr>
      <w:r>
        <w:rPr>
          <w:rFonts w:hint="eastAsia" w:hAnsi="宋体"/>
          <w:b/>
          <w:bCs/>
          <w:color w:val="auto"/>
          <w:sz w:val="24"/>
          <w:szCs w:val="24"/>
        </w:rPr>
        <w:t>三、技术资料</w:t>
      </w:r>
    </w:p>
    <w:p>
      <w:pPr>
        <w:pStyle w:val="15"/>
        <w:snapToGrid w:val="0"/>
        <w:spacing w:line="360" w:lineRule="auto"/>
        <w:ind w:left="31680" w:hanging="410" w:hangingChars="171"/>
        <w:rPr>
          <w:rFonts w:hAnsi="宋体" w:cs="Times New Roman"/>
          <w:color w:val="auto"/>
          <w:sz w:val="24"/>
          <w:szCs w:val="24"/>
        </w:rPr>
      </w:pPr>
      <w:r>
        <w:rPr>
          <w:rFonts w:hAnsi="宋体"/>
          <w:color w:val="auto"/>
          <w:sz w:val="24"/>
          <w:szCs w:val="24"/>
        </w:rPr>
        <w:t>1.</w:t>
      </w:r>
      <w:r>
        <w:rPr>
          <w:rFonts w:hint="eastAsia" w:hAnsi="宋体"/>
          <w:color w:val="auto"/>
          <w:sz w:val="24"/>
          <w:szCs w:val="24"/>
        </w:rPr>
        <w:t>乙方应按招标文件规定的时间向甲方提供有关技术资料。</w:t>
      </w:r>
    </w:p>
    <w:p>
      <w:pPr>
        <w:pStyle w:val="15"/>
        <w:snapToGrid w:val="0"/>
        <w:spacing w:line="360" w:lineRule="auto"/>
        <w:ind w:left="31680" w:hanging="410" w:hangingChars="171"/>
        <w:rPr>
          <w:rFonts w:hAnsi="宋体" w:cs="Times New Roman"/>
          <w:color w:val="auto"/>
          <w:sz w:val="24"/>
          <w:szCs w:val="24"/>
        </w:rPr>
      </w:pPr>
      <w:r>
        <w:rPr>
          <w:rFonts w:hAnsi="宋体"/>
          <w:color w:val="auto"/>
          <w:sz w:val="24"/>
          <w:szCs w:val="24"/>
        </w:rPr>
        <w:t xml:space="preserve">2. </w:t>
      </w:r>
      <w:r>
        <w:rPr>
          <w:rFonts w:hint="eastAsia"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line="360" w:lineRule="auto"/>
        <w:ind w:left="31680" w:hanging="412" w:hangingChars="171"/>
        <w:rPr>
          <w:rFonts w:hAnsi="宋体" w:cs="Times New Roman"/>
          <w:b/>
          <w:bCs/>
          <w:color w:val="auto"/>
          <w:sz w:val="24"/>
          <w:szCs w:val="24"/>
        </w:rPr>
      </w:pPr>
      <w:r>
        <w:rPr>
          <w:rFonts w:hint="eastAsia" w:hAnsi="宋体"/>
          <w:b/>
          <w:bCs/>
          <w:color w:val="auto"/>
          <w:sz w:val="24"/>
          <w:szCs w:val="24"/>
        </w:rPr>
        <w:t>四、知识产权</w:t>
      </w:r>
    </w:p>
    <w:p>
      <w:pPr>
        <w:pStyle w:val="15"/>
        <w:snapToGrid w:val="0"/>
        <w:spacing w:line="360" w:lineRule="auto"/>
        <w:ind w:left="31680" w:hanging="410" w:hangingChars="171"/>
        <w:rPr>
          <w:rFonts w:hAnsi="宋体" w:cs="Times New Roman"/>
          <w:b/>
          <w:bCs/>
          <w:color w:val="auto"/>
          <w:sz w:val="24"/>
          <w:szCs w:val="24"/>
        </w:rPr>
      </w:pPr>
      <w:r>
        <w:rPr>
          <w:rFonts w:hint="eastAsia" w:hAnsi="宋体"/>
          <w:color w:val="auto"/>
          <w:sz w:val="24"/>
          <w:szCs w:val="24"/>
        </w:rPr>
        <w:t>乙方应保证提供服务过程中不会侵犯任何第三方的</w:t>
      </w:r>
      <w:r>
        <w:rPr>
          <w:rFonts w:hint="eastAsia" w:hAnsi="宋体"/>
          <w:b/>
          <w:bCs/>
          <w:color w:val="auto"/>
          <w:sz w:val="24"/>
          <w:szCs w:val="24"/>
        </w:rPr>
        <w:t>知识产权。</w:t>
      </w:r>
    </w:p>
    <w:p>
      <w:pPr>
        <w:pStyle w:val="15"/>
        <w:snapToGrid w:val="0"/>
        <w:spacing w:line="360" w:lineRule="auto"/>
        <w:ind w:left="31680" w:hanging="410" w:hangingChars="170"/>
        <w:rPr>
          <w:rFonts w:hint="eastAsia" w:hAnsi="宋体" w:eastAsia="宋体" w:cs="Times New Roman"/>
          <w:color w:val="auto"/>
          <w:sz w:val="24"/>
          <w:szCs w:val="24"/>
          <w:lang w:val="en-US" w:eastAsia="zh-CN"/>
        </w:rPr>
      </w:pPr>
      <w:r>
        <w:rPr>
          <w:rFonts w:hint="eastAsia" w:hAnsi="宋体"/>
          <w:b/>
          <w:bCs/>
          <w:color w:val="auto"/>
          <w:sz w:val="24"/>
          <w:szCs w:val="24"/>
        </w:rPr>
        <w:t>五、履约保证金</w:t>
      </w:r>
      <w:r>
        <w:rPr>
          <w:rFonts w:hAnsi="宋体"/>
          <w:b/>
          <w:bCs/>
          <w:color w:val="auto"/>
          <w:sz w:val="24"/>
          <w:szCs w:val="24"/>
        </w:rPr>
        <w:t>:</w:t>
      </w:r>
      <w:r>
        <w:rPr>
          <w:rFonts w:hint="eastAsia" w:hAnsi="宋体"/>
          <w:b/>
          <w:bCs/>
          <w:color w:val="auto"/>
          <w:sz w:val="24"/>
          <w:szCs w:val="24"/>
          <w:lang w:val="en-US" w:eastAsia="zh-CN"/>
        </w:rPr>
        <w:t>/</w:t>
      </w:r>
    </w:p>
    <w:p>
      <w:pPr>
        <w:pStyle w:val="15"/>
        <w:snapToGrid w:val="0"/>
        <w:spacing w:line="360" w:lineRule="auto"/>
        <w:ind w:left="31680" w:hanging="410" w:hangingChars="170"/>
        <w:rPr>
          <w:rFonts w:hAnsi="宋体" w:cs="Times New Roman"/>
          <w:b/>
          <w:bCs/>
          <w:color w:val="auto"/>
          <w:sz w:val="24"/>
          <w:szCs w:val="24"/>
        </w:rPr>
      </w:pPr>
      <w:r>
        <w:rPr>
          <w:rFonts w:hint="eastAsia" w:hAnsi="宋体"/>
          <w:b/>
          <w:bCs/>
          <w:color w:val="auto"/>
          <w:sz w:val="24"/>
          <w:szCs w:val="24"/>
        </w:rPr>
        <w:t>六、转包或分包</w:t>
      </w:r>
    </w:p>
    <w:p>
      <w:pPr>
        <w:snapToGrid w:val="0"/>
        <w:spacing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本合同范围的服务，应由乙方直接供应，不得转让他人供应；</w:t>
      </w:r>
    </w:p>
    <w:p>
      <w:pPr>
        <w:snapToGrid w:val="0"/>
        <w:spacing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除非得到甲方的书面同意，乙方不得将本合同范围的服务全部或部分分包给他人供应；</w:t>
      </w:r>
    </w:p>
    <w:p>
      <w:pPr>
        <w:snapToGrid w:val="0"/>
        <w:spacing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如有转让和未经甲方同意的分包行为，甲方有权解除合同，并追究乙方的违约责任。</w:t>
      </w:r>
    </w:p>
    <w:p>
      <w:pPr>
        <w:pStyle w:val="15"/>
        <w:keepNext w:val="0"/>
        <w:keepLines w:val="0"/>
        <w:pageBreakBefore w:val="0"/>
        <w:kinsoku/>
        <w:wordWrap/>
        <w:overflowPunct/>
        <w:topLinePunct w:val="0"/>
        <w:autoSpaceDE/>
        <w:autoSpaceDN/>
        <w:bidi w:val="0"/>
        <w:adjustRightInd/>
        <w:snapToGrid w:val="0"/>
        <w:spacing w:line="360" w:lineRule="auto"/>
        <w:textAlignment w:val="auto"/>
        <w:rPr>
          <w:rFonts w:hint="eastAsia" w:hAnsi="宋体"/>
          <w:b/>
          <w:bCs/>
          <w:color w:val="auto"/>
          <w:sz w:val="24"/>
          <w:szCs w:val="24"/>
        </w:rPr>
      </w:pPr>
      <w:r>
        <w:rPr>
          <w:rFonts w:hint="eastAsia" w:hAnsi="宋体"/>
          <w:b/>
          <w:bCs/>
          <w:color w:val="auto"/>
          <w:sz w:val="24"/>
          <w:szCs w:val="24"/>
        </w:rPr>
        <w:t>七、服务质量保证期</w:t>
      </w:r>
      <w:r>
        <w:rPr>
          <w:rFonts w:hAnsi="宋体"/>
          <w:b/>
          <w:bCs/>
          <w:color w:val="auto"/>
          <w:sz w:val="24"/>
          <w:szCs w:val="24"/>
        </w:rPr>
        <w:t xml:space="preserve"> </w:t>
      </w:r>
      <w:r>
        <w:rPr>
          <w:rFonts w:hint="eastAsia" w:hAnsi="宋体"/>
          <w:b/>
          <w:bCs/>
          <w:color w:val="auto"/>
          <w:sz w:val="24"/>
          <w:szCs w:val="24"/>
        </w:rPr>
        <w:t>：</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hAnsi="宋体"/>
          <w:b/>
          <w:bCs/>
          <w:color w:val="auto"/>
          <w:sz w:val="24"/>
          <w:szCs w:val="24"/>
        </w:rPr>
      </w:pPr>
      <w:r>
        <w:rPr>
          <w:rFonts w:hint="eastAsia" w:ascii="宋体" w:hAnsi="宋体" w:eastAsia="宋体" w:cs="宋体"/>
          <w:color w:val="auto"/>
          <w:kern w:val="0"/>
          <w:sz w:val="24"/>
          <w:szCs w:val="24"/>
          <w:lang w:val="en-US" w:eastAsia="zh-CN" w:bidi="ar"/>
        </w:rPr>
        <w:t>服务质量保证期</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年。（自验收合格之日起计）</w:t>
      </w:r>
    </w:p>
    <w:p>
      <w:pPr>
        <w:pStyle w:val="15"/>
        <w:keepNext w:val="0"/>
        <w:keepLines w:val="0"/>
        <w:pageBreakBefore w:val="0"/>
        <w:kinsoku/>
        <w:wordWrap/>
        <w:overflowPunct/>
        <w:topLinePunct w:val="0"/>
        <w:autoSpaceDE/>
        <w:autoSpaceDN/>
        <w:bidi w:val="0"/>
        <w:adjustRightInd/>
        <w:snapToGrid w:val="0"/>
        <w:spacing w:line="360" w:lineRule="auto"/>
        <w:textAlignment w:val="auto"/>
        <w:rPr>
          <w:rFonts w:hint="eastAsia" w:hAnsi="宋体" w:eastAsia="宋体" w:cs="Times New Roman"/>
          <w:b/>
          <w:bCs/>
          <w:color w:val="auto"/>
          <w:sz w:val="24"/>
          <w:szCs w:val="24"/>
          <w:lang w:eastAsia="zh-CN"/>
        </w:rPr>
      </w:pPr>
      <w:r>
        <w:rPr>
          <w:rFonts w:hint="eastAsia" w:hAnsi="宋体"/>
          <w:b/>
          <w:bCs/>
          <w:color w:val="auto"/>
          <w:sz w:val="24"/>
          <w:szCs w:val="24"/>
        </w:rPr>
        <w:t>八、交货期、交货方式及交货地点</w:t>
      </w:r>
      <w:r>
        <w:rPr>
          <w:rFonts w:hint="eastAsia" w:hAnsi="宋体"/>
          <w:b/>
          <w:bCs/>
          <w:color w:val="auto"/>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cs="Times New Roman"/>
          <w:color w:val="auto"/>
          <w:sz w:val="24"/>
          <w:szCs w:val="24"/>
        </w:rPr>
      </w:pPr>
      <w:r>
        <w:rPr>
          <w:rFonts w:hint="eastAsia" w:hAnsi="宋体"/>
          <w:color w:val="auto"/>
          <w:sz w:val="24"/>
          <w:szCs w:val="24"/>
          <w:lang w:val="en-US" w:eastAsia="zh-CN"/>
        </w:rPr>
        <w:t>1</w:t>
      </w:r>
      <w:r>
        <w:rPr>
          <w:rFonts w:hAnsi="宋体"/>
          <w:color w:val="auto"/>
          <w:sz w:val="24"/>
          <w:szCs w:val="24"/>
        </w:rPr>
        <w:t xml:space="preserve"> </w:t>
      </w:r>
      <w:r>
        <w:rPr>
          <w:rFonts w:hint="eastAsia" w:hAnsi="宋体"/>
          <w:color w:val="auto"/>
          <w:sz w:val="24"/>
          <w:szCs w:val="24"/>
          <w:lang w:val="en-US" w:eastAsia="zh-CN"/>
        </w:rPr>
        <w:t>交货期</w:t>
      </w:r>
      <w:r>
        <w:rPr>
          <w:rFonts w:hint="eastAsia" w:hAnsi="宋体"/>
          <w:color w:val="auto"/>
          <w:sz w:val="24"/>
          <w:szCs w:val="24"/>
        </w:rPr>
        <w:t>：</w:t>
      </w:r>
    </w:p>
    <w:p>
      <w:pPr>
        <w:pStyle w:val="1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olor w:val="auto"/>
          <w:sz w:val="24"/>
          <w:szCs w:val="24"/>
        </w:rPr>
      </w:pPr>
      <w:r>
        <w:rPr>
          <w:rFonts w:hint="eastAsia" w:hAnsi="宋体"/>
          <w:color w:val="auto"/>
          <w:sz w:val="24"/>
          <w:szCs w:val="24"/>
          <w:lang w:val="en-US" w:eastAsia="zh-CN"/>
        </w:rPr>
        <w:t xml:space="preserve">2 </w:t>
      </w:r>
      <w:r>
        <w:rPr>
          <w:rFonts w:hint="eastAsia" w:hAnsi="宋体"/>
          <w:color w:val="auto"/>
          <w:sz w:val="24"/>
          <w:szCs w:val="24"/>
        </w:rPr>
        <w:t>交货方式及交货地点：由乙方负责运送到甲方指定地点，并安装完成</w:t>
      </w:r>
    </w:p>
    <w:p>
      <w:pPr>
        <w:pStyle w:val="15"/>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cs="Times New Roman"/>
          <w:b/>
          <w:bCs/>
          <w:color w:val="auto"/>
          <w:sz w:val="24"/>
          <w:szCs w:val="24"/>
        </w:rPr>
      </w:pPr>
      <w:r>
        <w:rPr>
          <w:rFonts w:hint="eastAsia" w:hAnsi="宋体"/>
          <w:b/>
          <w:bCs/>
          <w:color w:val="auto"/>
          <w:sz w:val="24"/>
          <w:szCs w:val="24"/>
        </w:rPr>
        <w:t>九、货物包装、发运及运输</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货物备妥待运输前, 乙方应提前24小时通知买方，甲方有权提出是否随车押运，乙方应无条件配合，并将合同号、货物名称、数量、件数、每件包装箱的尺码、毛重及对货物的卸车、贮存和特殊要求等用电报或传真通知甲方。</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除合同另有规定外，乙方提供的全部货物，均应采用国家或专业标准保护措施进行包装，使包装适宜于远距离运输、防潮、防震、防锈和防粗暴装卸，确保货物安全无损运抵现场。货物在移交甲方之前因包装不善或运输等原因造成的锈蚀、破损、丢失等均由乙方承担责任。</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乙方保证货物在装卸、运输中发生损坏或短缺后，在15日内给予调换和补齐缺件，不管其造成的原因如何，乙方不得以办理索赔等为由而拖延，同时，如因乙方原因对甲方造成工期延误等相应的损失由乙方承担连带赔偿责任。</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装运标志</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包装箱外面应用不褪色的油漆，按规定打上清晰的包装标志。</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4.1 不包装的金属结构件应将唛头标签系牢在结构件上。</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4.2乙方应根据货物特点，在包装箱上标明“小心轻放”、“请勿倒置”、“防潮”等字样和吊装标记。</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4.3 每件包装箱内应附一份详细装箱单和质量合格证，否则视为不按合同约定交货。</w:t>
      </w:r>
    </w:p>
    <w:p>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4.5在包装箱中，应附有国家规定必需的所有产品合格证明文件、产品说明书、装箱单、易损件备件，以及有关技术文件资料。随包装箱携带的文件、资料应防潮密封，并放在包装箱内明显处。</w:t>
      </w:r>
    </w:p>
    <w:p>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4.6所有的运输、保险及相关费用均由乙方负责，货物及配件、部件的包装费和保护措施费应包括在合同价款中，这些包装材料应属于甲方所有且由甲方自行处置。</w:t>
      </w:r>
    </w:p>
    <w:p>
      <w:pPr>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十、组装</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货物的组装是作为本合同内容的一部分，不再签订其他协议，相应费用已包含在甲方支付的合同价款中，甲方不再另行支付；接到甲方书面通知后，乙方应按照通知指定的日期派员赶赴安装现场对货物进行安装。</w:t>
      </w:r>
    </w:p>
    <w:p>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货物的制作与运输、组装、就位由乙方全权负责。</w:t>
      </w:r>
    </w:p>
    <w:p>
      <w:pPr>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十一、质量要求</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本合同项下全部产品的设计及制造质量均应符合最新国家、部委、行业有关家具生产制造行业标准规范、建筑安装施工规范及招标文件技术要求。乙方对所投产品负全部责任，如所投产品性能达不到招标文件要求，甲方有权要求乙方无偿补齐或更换，直到符合招标文件要求，费用不作调整。</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乙方应保证所供货物是全新的、未使用过的，完全符合合同规定的质量、规格和性能的要求。乙方应保证其货物在正确安装、正常使用和保养条件下，在其使用寿命内应确保货物的正常使用。在货物最终验收后的质量保证期内，乙方应对由于设计、制造或材料的缺陷而产生的故障负全责。</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乙方必须保证本次标的货物满足国家相关标准，其主要部件及产地必须满足投标文件中承诺的要求，否则，甲方有权拒付全部货款并依法追究乙方相应的违约责任。</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根据商检局或有关部门检验结果或在质量保证期内，如果货物的数量、质量或规格与合同或招标文件不符，或证实货物是有缺陷的，包括潜在的缺陷或使用不符合要求的材料等，甲方应尽快以书面形式向乙方提出相关的索赔要求。</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乙方在收到通知后应免费维修或更换有缺陷的货物或部件。</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如果乙方在收到通知后，在投标时承诺的时间内没有弥补缺陷，甲方可采取必要的补救措施，但其风险和费用将由乙方承担，甲方根据合同规定对乙方行使的其他权力不受影响。</w:t>
      </w:r>
    </w:p>
    <w:p>
      <w:pPr>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十二、质量、技术标准</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产品的质量、技术标准达到国家验收规范合格标准及招标文件要求和投标文件中的承诺，若不同标准之间不一致的，以要求较高者为准。</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制造检验和试验工作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2.1根据合同条款要求，所有检验和试验等费用都被认为包括在本合同总价中，甲方不再另行支付。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本合同项下产品在生产制造期间，甲方有权在认为任何合适的时间不限次数地到乙方制造地，进行质量检验和试验。在制造监制期间，乙方有责任提供有关货物的各种数据、图纸的详细中文资料，但甲方监制并不解除乙方对所有产品在制造质量上应负的全部责任，也不作为甲方的最终验收。对于甲方认为贵重的家具，甲方可视需要全程参加制作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2.3中标后所有货物和材料甲方均有权到现场进行监造、抽样检测及委托第三方进行检测，如发现供货货物和材料与招投标要求不符的，甲方有权拒收和退货或解除合同，由此产生的损失均由乙方承担。</w:t>
      </w:r>
    </w:p>
    <w:p>
      <w:pPr>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十三、调试和验收</w:t>
      </w:r>
    </w:p>
    <w:p>
      <w:pPr>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乙方交货前应对产品作出全面检查和对验收文件进行整理，并列出清单，作为甲方收货验收和使用的技术条件依据，检验的结果应随货物交甲方。</w:t>
      </w:r>
    </w:p>
    <w:p>
      <w:pPr>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验收时乙方必须在现场，验收完毕后作出验收结果报告，验收费用由乙方负责。</w:t>
      </w:r>
    </w:p>
    <w:p>
      <w:pPr>
        <w:snapToGrid w:val="0"/>
        <w:spacing w:line="360" w:lineRule="auto"/>
        <w:jc w:val="left"/>
        <w:rPr>
          <w:rFonts w:hint="eastAsia" w:ascii="宋体" w:hAnsi="宋体" w:cs="宋体"/>
          <w:b/>
          <w:bCs/>
          <w:color w:val="auto"/>
          <w:sz w:val="24"/>
          <w:szCs w:val="24"/>
        </w:rPr>
      </w:pPr>
      <w:r>
        <w:rPr>
          <w:rFonts w:hint="eastAsia" w:ascii="宋体" w:hAnsi="宋体" w:cs="宋体"/>
          <w:b/>
          <w:bCs/>
          <w:color w:val="auto"/>
          <w:sz w:val="24"/>
          <w:szCs w:val="24"/>
        </w:rPr>
        <w:t>十四、质量保证期和售后服务</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质量保证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乙方应按本合同和招标文件规定及乙方投标承诺的货物性能、质量标准向甲方提供未经使用的全新的、未使用过的货物。如发生所供货物与本合同、招标文件要求或乙方承诺不符，甲方有权拒收或退货，由此产生的一切责任和后果由乙方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1.2甲方有权提出在货物制造过程中派人到制造厂进行监造，乙方有义务为买方监造人员提供方便，甲方不再另行支付。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1.3乙方保证按IS09001系列标准(如果已经执行)或相应的质量管理和质量保证体系，对所供货物的设计、采购、制造、检验、涂装、包装、组装就位等各个环节进行严格的质量管理和质量控制。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1.4乙方保证所提供的货物在正确组装、正常使用和维护保养的情况下，具有使甲方满意的使用性能和使用寿命。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1.5在保证期内因货物本身的质量问题发生故障，乙方应负责免费修理和更换零部件。对经过修理和免费更换零部件后仍然达不到使用要求者，甲方可按以下办法处理：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 退货处理：乙方应退还甲方支付的货物款，同时应承担因该货物退货而发生的一切费用与损失(包括但不限于运输、保险、检验、指导安装调试、货物款利息、银行手续费及涉及该项目的其它损失费等)。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 更换货物：由乙方承担因更换货物所发生的一切费用与损失(包括但不限于货物、运输（包括卸车至现场）、保险、检验、组装费及涉及该项目的其它损失费等)。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甲方有权根据质保期内货物本身质量问题发生的故障严重程度，选择以上任意一种方式，乙方须无条件接受。</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售后服务承诺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2.1无论在质保期内还是质保期满后，一旦货物发生故障，而甲方无法自行排除时，在接到甲方通知后，乙方承诺在所供货物发生故障8小时内到达现场并进行排除故障工作。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乙方进行组装就位，以及进行维修、保养等工作时，应当遵守劳动安全等规章制度，听从甲方的安全指挥，对因乙方履行上述工作给甲方与第三人造成的损害责任(包括但不限于人身损害、财产损害等)以及造成乙方自身的损害责任，均由乙方承担。如甲方先行承担责任的，甲方有权向乙方追偿损失（包括但不限于赔偿费、诉讼费、律师费等），并有权从任何应该支付或将要支付给乙方的金额中扣除该偿还金额。</w:t>
      </w:r>
    </w:p>
    <w:p>
      <w:pPr>
        <w:snapToGrid w:val="0"/>
        <w:spacing w:line="360" w:lineRule="auto"/>
        <w:jc w:val="left"/>
        <w:rPr>
          <w:rFonts w:ascii="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五</w:t>
      </w:r>
      <w:r>
        <w:rPr>
          <w:rFonts w:hint="eastAsia" w:ascii="宋体" w:hAnsi="宋体" w:cs="宋体"/>
          <w:b/>
          <w:bCs/>
          <w:color w:val="auto"/>
          <w:sz w:val="24"/>
          <w:szCs w:val="24"/>
        </w:rPr>
        <w:t>、税费</w:t>
      </w:r>
    </w:p>
    <w:p>
      <w:pPr>
        <w:snapToGrid w:val="0"/>
        <w:spacing w:line="360" w:lineRule="auto"/>
        <w:rPr>
          <w:rFonts w:hint="eastAsia"/>
          <w:color w:val="auto"/>
        </w:rPr>
      </w:pPr>
      <w:r>
        <w:rPr>
          <w:rFonts w:hint="eastAsia" w:ascii="宋体" w:hAnsi="宋体" w:cs="宋体"/>
          <w:color w:val="auto"/>
          <w:sz w:val="24"/>
          <w:szCs w:val="24"/>
        </w:rPr>
        <w:t>本合同执行中相关的一切税费均由乙方负担。</w:t>
      </w:r>
    </w:p>
    <w:p>
      <w:pPr>
        <w:pStyle w:val="15"/>
        <w:snapToGrid w:val="0"/>
        <w:spacing w:line="360" w:lineRule="auto"/>
        <w:rPr>
          <w:rFonts w:hAnsi="宋体" w:cs="Times New Roman"/>
          <w:b/>
          <w:bCs/>
          <w:color w:val="auto"/>
          <w:sz w:val="24"/>
          <w:szCs w:val="24"/>
        </w:rPr>
      </w:pPr>
      <w:r>
        <w:rPr>
          <w:rFonts w:hint="eastAsia" w:hAnsi="宋体"/>
          <w:b/>
          <w:bCs/>
          <w:color w:val="auto"/>
          <w:sz w:val="24"/>
          <w:szCs w:val="24"/>
        </w:rPr>
        <w:t>十</w:t>
      </w:r>
      <w:r>
        <w:rPr>
          <w:rFonts w:hint="eastAsia" w:hAnsi="宋体"/>
          <w:b/>
          <w:bCs/>
          <w:color w:val="auto"/>
          <w:sz w:val="24"/>
          <w:szCs w:val="24"/>
          <w:lang w:val="en-US" w:eastAsia="zh-CN"/>
        </w:rPr>
        <w:t>六</w:t>
      </w:r>
      <w:r>
        <w:rPr>
          <w:rFonts w:hint="eastAsia" w:hAnsi="宋体"/>
          <w:b/>
          <w:bCs/>
          <w:color w:val="auto"/>
          <w:sz w:val="24"/>
          <w:szCs w:val="24"/>
        </w:rPr>
        <w:t>、违约责任</w:t>
      </w:r>
    </w:p>
    <w:p>
      <w:pPr>
        <w:pStyle w:val="15"/>
        <w:snapToGrid w:val="0"/>
        <w:spacing w:line="360" w:lineRule="auto"/>
        <w:ind w:left="31680" w:hanging="410" w:hangingChars="171"/>
        <w:rPr>
          <w:rFonts w:hAnsi="宋体" w:cs="Times New Roman"/>
          <w:color w:val="auto"/>
          <w:sz w:val="24"/>
          <w:szCs w:val="24"/>
        </w:rPr>
      </w:pPr>
      <w:r>
        <w:rPr>
          <w:rFonts w:hAnsi="宋体"/>
          <w:color w:val="auto"/>
          <w:sz w:val="24"/>
          <w:szCs w:val="24"/>
        </w:rPr>
        <w:t>1</w:t>
      </w:r>
      <w:r>
        <w:rPr>
          <w:rFonts w:hint="eastAsia" w:hAnsi="宋体"/>
          <w:color w:val="auto"/>
          <w:sz w:val="24"/>
          <w:szCs w:val="24"/>
          <w:lang w:val="en-US" w:eastAsia="zh-CN"/>
        </w:rPr>
        <w:t xml:space="preserve"> </w:t>
      </w:r>
      <w:r>
        <w:rPr>
          <w:rFonts w:hint="eastAsia" w:hAnsi="宋体"/>
          <w:color w:val="auto"/>
          <w:sz w:val="24"/>
          <w:szCs w:val="24"/>
        </w:rPr>
        <w:t>甲方无正当理由拒收接受服务的，甲方向乙方偿付合同款项百分之五作为违约金。</w:t>
      </w:r>
    </w:p>
    <w:p>
      <w:pPr>
        <w:pStyle w:val="15"/>
        <w:snapToGrid w:val="0"/>
        <w:spacing w:line="360" w:lineRule="auto"/>
        <w:ind w:left="31680" w:hanging="410" w:hangingChars="171"/>
        <w:rPr>
          <w:rFonts w:hint="eastAsia" w:hAnsi="宋体"/>
          <w:color w:val="auto"/>
          <w:sz w:val="24"/>
          <w:szCs w:val="24"/>
        </w:rPr>
      </w:pPr>
      <w:r>
        <w:rPr>
          <w:rFonts w:hAnsi="宋体"/>
          <w:color w:val="auto"/>
          <w:sz w:val="24"/>
          <w:szCs w:val="24"/>
        </w:rPr>
        <w:t>2</w:t>
      </w:r>
      <w:r>
        <w:rPr>
          <w:rFonts w:hint="eastAsia" w:hAnsi="宋体"/>
          <w:color w:val="auto"/>
          <w:sz w:val="24"/>
          <w:szCs w:val="24"/>
          <w:lang w:val="en-US" w:eastAsia="zh-CN"/>
        </w:rPr>
        <w:t xml:space="preserve"> </w:t>
      </w:r>
      <w:r>
        <w:rPr>
          <w:rFonts w:hint="eastAsia" w:hAnsi="宋体"/>
          <w:color w:val="auto"/>
          <w:sz w:val="24"/>
          <w:szCs w:val="24"/>
        </w:rPr>
        <w:t>甲方无故逾期验收和办理款项支付手续的</w:t>
      </w:r>
      <w:r>
        <w:rPr>
          <w:rFonts w:hAnsi="宋体"/>
          <w:color w:val="auto"/>
          <w:sz w:val="24"/>
          <w:szCs w:val="24"/>
        </w:rPr>
        <w:t>,</w:t>
      </w:r>
      <w:r>
        <w:rPr>
          <w:rFonts w:hint="eastAsia" w:hAnsi="宋体"/>
          <w:color w:val="auto"/>
          <w:sz w:val="24"/>
          <w:szCs w:val="24"/>
        </w:rPr>
        <w:t>甲方应按逾期付款总额每日万分之五向乙方</w:t>
      </w:r>
    </w:p>
    <w:p>
      <w:pPr>
        <w:pStyle w:val="15"/>
        <w:snapToGrid w:val="0"/>
        <w:spacing w:line="360" w:lineRule="auto"/>
        <w:ind w:left="31680" w:hanging="410" w:hangingChars="171"/>
        <w:rPr>
          <w:rFonts w:hAnsi="宋体" w:cs="Times New Roman"/>
          <w:color w:val="auto"/>
          <w:sz w:val="24"/>
          <w:szCs w:val="24"/>
        </w:rPr>
      </w:pPr>
      <w:r>
        <w:rPr>
          <w:rFonts w:hint="eastAsia" w:hAnsi="宋体"/>
          <w:color w:val="auto"/>
          <w:sz w:val="24"/>
          <w:szCs w:val="24"/>
        </w:rPr>
        <w:t>支付违约金。</w:t>
      </w:r>
    </w:p>
    <w:p>
      <w:pPr>
        <w:pStyle w:val="15"/>
        <w:snapToGrid w:val="0"/>
        <w:spacing w:line="360" w:lineRule="auto"/>
        <w:ind w:left="31680" w:hanging="410" w:hangingChars="171"/>
        <w:rPr>
          <w:rFonts w:hAnsi="宋体"/>
          <w:color w:val="auto"/>
          <w:sz w:val="24"/>
          <w:szCs w:val="24"/>
        </w:rPr>
      </w:pPr>
      <w:r>
        <w:rPr>
          <w:rFonts w:hAnsi="宋体"/>
          <w:color w:val="auto"/>
          <w:sz w:val="24"/>
          <w:szCs w:val="24"/>
        </w:rPr>
        <w:t>3</w:t>
      </w:r>
      <w:r>
        <w:rPr>
          <w:rFonts w:hint="eastAsia" w:hAnsi="宋体"/>
          <w:color w:val="auto"/>
          <w:sz w:val="24"/>
          <w:szCs w:val="24"/>
          <w:lang w:val="en-US" w:eastAsia="zh-CN"/>
        </w:rPr>
        <w:t xml:space="preserve"> </w:t>
      </w:r>
      <w:r>
        <w:rPr>
          <w:rFonts w:hint="eastAsia" w:hAnsi="宋体"/>
          <w:color w:val="auto"/>
          <w:sz w:val="24"/>
          <w:szCs w:val="24"/>
        </w:rPr>
        <w:t>乙方未能如期提供服务的，每日向甲方支付合同款项的千分之六作为违约金。乙方超过约定日期</w:t>
      </w:r>
      <w:r>
        <w:rPr>
          <w:rFonts w:hAnsi="宋体"/>
          <w:color w:val="auto"/>
          <w:sz w:val="24"/>
          <w:szCs w:val="24"/>
        </w:rPr>
        <w:t>10</w:t>
      </w:r>
      <w:r>
        <w:rPr>
          <w:rFonts w:hint="eastAsia" w:hAnsi="宋体"/>
          <w:color w:val="auto"/>
          <w:sz w:val="24"/>
          <w:szCs w:val="24"/>
        </w:rPr>
        <w:t>个工作日仍不能提供服务的，甲方可解除本合同。乙方因未能如期提供服务或因其他违约行为导致甲方解除合同的，乙方应向甲方支付合同总值</w:t>
      </w:r>
      <w:r>
        <w:rPr>
          <w:rFonts w:hAnsi="宋体"/>
          <w:color w:val="auto"/>
          <w:sz w:val="24"/>
          <w:szCs w:val="24"/>
        </w:rPr>
        <w:t>5%</w:t>
      </w:r>
      <w:r>
        <w:rPr>
          <w:rFonts w:hint="eastAsia" w:hAnsi="宋体"/>
          <w:color w:val="auto"/>
          <w:sz w:val="24"/>
          <w:szCs w:val="24"/>
        </w:rPr>
        <w:t>的违约金，如造成甲方损失超过违约金的，超出部分由乙方继续承担赔偿责任。</w:t>
      </w:r>
      <w:r>
        <w:rPr>
          <w:rFonts w:hAnsi="宋体"/>
          <w:color w:val="auto"/>
          <w:sz w:val="24"/>
          <w:szCs w:val="24"/>
        </w:rPr>
        <w:t xml:space="preserve"> </w:t>
      </w:r>
    </w:p>
    <w:p>
      <w:pPr>
        <w:pStyle w:val="15"/>
        <w:snapToGrid w:val="0"/>
        <w:spacing w:line="360" w:lineRule="auto"/>
        <w:rPr>
          <w:rFonts w:hAnsi="宋体" w:cs="Times New Roman"/>
          <w:b/>
          <w:bCs/>
          <w:color w:val="auto"/>
          <w:sz w:val="24"/>
          <w:szCs w:val="24"/>
        </w:rPr>
      </w:pPr>
      <w:r>
        <w:rPr>
          <w:rFonts w:hint="eastAsia" w:hAnsi="宋体"/>
          <w:b/>
          <w:bCs/>
          <w:color w:val="auto"/>
          <w:sz w:val="24"/>
          <w:szCs w:val="24"/>
        </w:rPr>
        <w:t>十</w:t>
      </w:r>
      <w:r>
        <w:rPr>
          <w:rFonts w:hint="eastAsia" w:hAnsi="宋体"/>
          <w:b/>
          <w:bCs/>
          <w:color w:val="auto"/>
          <w:sz w:val="24"/>
          <w:szCs w:val="24"/>
          <w:lang w:val="en-US" w:eastAsia="zh-CN"/>
        </w:rPr>
        <w:t>七</w:t>
      </w:r>
      <w:r>
        <w:rPr>
          <w:rFonts w:hint="eastAsia" w:hAnsi="宋体"/>
          <w:b/>
          <w:bCs/>
          <w:color w:val="auto"/>
          <w:sz w:val="24"/>
          <w:szCs w:val="24"/>
        </w:rPr>
        <w:t>、不可抗力事件处理</w:t>
      </w:r>
    </w:p>
    <w:p>
      <w:pPr>
        <w:pStyle w:val="15"/>
        <w:snapToGrid w:val="0"/>
        <w:spacing w:line="360" w:lineRule="auto"/>
        <w:ind w:left="31680" w:hanging="480" w:hangingChars="200"/>
        <w:rPr>
          <w:rFonts w:hAnsi="宋体" w:cs="Times New Roman"/>
          <w:color w:val="auto"/>
          <w:sz w:val="24"/>
          <w:szCs w:val="24"/>
        </w:rPr>
      </w:pPr>
      <w:r>
        <w:rPr>
          <w:rFonts w:hAnsi="宋体"/>
          <w:color w:val="auto"/>
          <w:sz w:val="24"/>
          <w:szCs w:val="24"/>
        </w:rPr>
        <w:t>1</w:t>
      </w:r>
      <w:r>
        <w:rPr>
          <w:rFonts w:hint="eastAsia" w:hAnsi="宋体"/>
          <w:color w:val="auto"/>
          <w:sz w:val="24"/>
          <w:szCs w:val="24"/>
          <w:lang w:val="en-US" w:eastAsia="zh-CN"/>
        </w:rPr>
        <w:t xml:space="preserve"> </w:t>
      </w:r>
      <w:r>
        <w:rPr>
          <w:rFonts w:hint="eastAsia" w:hAnsi="宋体"/>
          <w:color w:val="auto"/>
          <w:sz w:val="24"/>
          <w:szCs w:val="24"/>
        </w:rPr>
        <w:t>在合同有效期内，任何一方因不可抗力事件导致不能履行合同，则合同履行期可延长，其延长期与不可抗力影响期相同。</w:t>
      </w:r>
    </w:p>
    <w:p>
      <w:pPr>
        <w:pStyle w:val="15"/>
        <w:snapToGrid w:val="0"/>
        <w:spacing w:line="360" w:lineRule="auto"/>
        <w:rPr>
          <w:rFonts w:hAnsi="宋体" w:cs="Times New Roman"/>
          <w:color w:val="auto"/>
          <w:sz w:val="24"/>
          <w:szCs w:val="24"/>
        </w:rPr>
      </w:pPr>
      <w:r>
        <w:rPr>
          <w:rFonts w:hAnsi="宋体"/>
          <w:color w:val="auto"/>
          <w:sz w:val="24"/>
          <w:szCs w:val="24"/>
        </w:rPr>
        <w:t>2</w:t>
      </w:r>
      <w:r>
        <w:rPr>
          <w:rFonts w:hint="eastAsia" w:hAnsi="宋体"/>
          <w:color w:val="auto"/>
          <w:sz w:val="24"/>
          <w:szCs w:val="24"/>
          <w:lang w:val="en-US" w:eastAsia="zh-CN"/>
        </w:rPr>
        <w:t xml:space="preserve"> </w:t>
      </w:r>
      <w:r>
        <w:rPr>
          <w:rFonts w:hint="eastAsia" w:hAnsi="宋体"/>
          <w:color w:val="auto"/>
          <w:sz w:val="24"/>
          <w:szCs w:val="24"/>
        </w:rPr>
        <w:t>不可抗力事件发生后，应立即通知对方，并寄送有关权威机构出具的证明。</w:t>
      </w:r>
    </w:p>
    <w:p>
      <w:pPr>
        <w:pStyle w:val="15"/>
        <w:snapToGrid w:val="0"/>
        <w:spacing w:line="360" w:lineRule="auto"/>
        <w:rPr>
          <w:rFonts w:hAnsi="宋体" w:cs="Times New Roman"/>
          <w:color w:val="auto"/>
          <w:sz w:val="24"/>
          <w:szCs w:val="24"/>
        </w:rPr>
      </w:pPr>
      <w:r>
        <w:rPr>
          <w:rFonts w:hAnsi="宋体"/>
          <w:color w:val="auto"/>
          <w:sz w:val="24"/>
          <w:szCs w:val="24"/>
        </w:rPr>
        <w:t>3</w:t>
      </w:r>
      <w:r>
        <w:rPr>
          <w:rFonts w:hint="eastAsia" w:hAnsi="宋体"/>
          <w:color w:val="auto"/>
          <w:sz w:val="24"/>
          <w:szCs w:val="24"/>
          <w:lang w:val="en-US" w:eastAsia="zh-CN"/>
        </w:rPr>
        <w:t xml:space="preserve"> </w:t>
      </w:r>
      <w:r>
        <w:rPr>
          <w:rFonts w:hint="eastAsia" w:hAnsi="宋体"/>
          <w:color w:val="auto"/>
          <w:sz w:val="24"/>
          <w:szCs w:val="24"/>
        </w:rPr>
        <w:t>不可抗力事件延续</w:t>
      </w:r>
      <w:r>
        <w:rPr>
          <w:rFonts w:hAnsi="宋体"/>
          <w:color w:val="auto"/>
          <w:sz w:val="24"/>
          <w:szCs w:val="24"/>
        </w:rPr>
        <w:t>120</w:t>
      </w:r>
      <w:r>
        <w:rPr>
          <w:rFonts w:hint="eastAsia" w:hAnsi="宋体"/>
          <w:color w:val="auto"/>
          <w:sz w:val="24"/>
          <w:szCs w:val="24"/>
        </w:rPr>
        <w:t>天以上，双方应通过友好协商，确定是否继续履行合同。</w:t>
      </w:r>
    </w:p>
    <w:p>
      <w:pPr>
        <w:pStyle w:val="15"/>
        <w:snapToGrid w:val="0"/>
        <w:spacing w:line="360" w:lineRule="auto"/>
        <w:rPr>
          <w:rFonts w:hAnsi="宋体" w:cs="Times New Roman"/>
          <w:b/>
          <w:bCs/>
          <w:color w:val="auto"/>
          <w:sz w:val="24"/>
          <w:szCs w:val="24"/>
        </w:rPr>
      </w:pPr>
      <w:r>
        <w:rPr>
          <w:rFonts w:hint="eastAsia" w:hAnsi="宋体"/>
          <w:b/>
          <w:bCs/>
          <w:color w:val="auto"/>
          <w:sz w:val="24"/>
          <w:szCs w:val="24"/>
          <w:lang w:val="en-US" w:eastAsia="zh-CN"/>
        </w:rPr>
        <w:t>十八</w:t>
      </w:r>
      <w:r>
        <w:rPr>
          <w:rFonts w:hint="eastAsia" w:hAnsi="宋体"/>
          <w:b/>
          <w:bCs/>
          <w:color w:val="auto"/>
          <w:sz w:val="24"/>
          <w:szCs w:val="24"/>
        </w:rPr>
        <w:t>、诉讼</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ind w:leftChars="0" w:right="-91" w:rightChars="0" w:firstLine="480" w:firstLineChars="200"/>
        <w:textAlignment w:val="auto"/>
        <w:rPr>
          <w:rFonts w:ascii="宋体"/>
          <w:color w:val="auto"/>
        </w:rPr>
      </w:pPr>
      <w:r>
        <w:rPr>
          <w:rFonts w:hint="eastAsia" w:ascii="宋体" w:hAnsi="宋体" w:cs="宋体"/>
          <w:color w:val="auto"/>
        </w:rPr>
        <w:t>双方在执行合同中所发生的一切争议，应通过协商解决。如协商不成，可向三门县人民法院提起诉讼。</w:t>
      </w:r>
    </w:p>
    <w:p>
      <w:pPr>
        <w:pStyle w:val="15"/>
        <w:snapToGrid w:val="0"/>
        <w:spacing w:line="360" w:lineRule="auto"/>
        <w:rPr>
          <w:rFonts w:hAnsi="宋体" w:cs="Times New Roman"/>
          <w:b/>
          <w:bCs/>
          <w:color w:val="auto"/>
          <w:sz w:val="24"/>
          <w:szCs w:val="24"/>
        </w:rPr>
      </w:pPr>
      <w:r>
        <w:rPr>
          <w:rFonts w:hint="eastAsia" w:hAnsi="宋体"/>
          <w:b/>
          <w:bCs/>
          <w:color w:val="auto"/>
          <w:sz w:val="24"/>
          <w:szCs w:val="24"/>
        </w:rPr>
        <w:t>十</w:t>
      </w:r>
      <w:r>
        <w:rPr>
          <w:rFonts w:hint="eastAsia" w:hAnsi="宋体"/>
          <w:b/>
          <w:bCs/>
          <w:color w:val="auto"/>
          <w:sz w:val="24"/>
          <w:szCs w:val="24"/>
          <w:lang w:val="en-US" w:eastAsia="zh-CN"/>
        </w:rPr>
        <w:t>九</w:t>
      </w:r>
      <w:r>
        <w:rPr>
          <w:rFonts w:hint="eastAsia" w:hAnsi="宋体"/>
          <w:b/>
          <w:bCs/>
          <w:color w:val="auto"/>
          <w:sz w:val="24"/>
          <w:szCs w:val="24"/>
        </w:rPr>
        <w:t>、合同生效及其他</w:t>
      </w:r>
    </w:p>
    <w:p>
      <w:pPr>
        <w:pStyle w:val="15"/>
        <w:snapToGrid w:val="0"/>
        <w:spacing w:line="360" w:lineRule="auto"/>
        <w:rPr>
          <w:rFonts w:hAnsi="宋体" w:cs="Times New Roman"/>
          <w:color w:val="auto"/>
          <w:sz w:val="24"/>
          <w:szCs w:val="24"/>
        </w:rPr>
      </w:pPr>
      <w:r>
        <w:rPr>
          <w:rFonts w:hAnsi="宋体"/>
          <w:color w:val="auto"/>
          <w:sz w:val="24"/>
          <w:szCs w:val="24"/>
        </w:rPr>
        <w:t>1</w:t>
      </w:r>
      <w:r>
        <w:rPr>
          <w:rFonts w:hint="eastAsia" w:hAnsi="宋体"/>
          <w:color w:val="auto"/>
          <w:sz w:val="24"/>
          <w:szCs w:val="24"/>
          <w:lang w:val="en-US" w:eastAsia="zh-CN"/>
        </w:rPr>
        <w:t xml:space="preserve"> </w:t>
      </w:r>
      <w:r>
        <w:rPr>
          <w:rFonts w:hint="eastAsia" w:hAnsi="宋体"/>
          <w:color w:val="auto"/>
          <w:sz w:val="24"/>
          <w:szCs w:val="24"/>
        </w:rPr>
        <w:t>合同经双方法定代表人或授权代表签字并加盖单位公章后生效。</w:t>
      </w:r>
    </w:p>
    <w:p>
      <w:pPr>
        <w:pStyle w:val="15"/>
        <w:snapToGrid w:val="0"/>
        <w:spacing w:line="360" w:lineRule="auto"/>
        <w:ind w:left="31680" w:hanging="480" w:hangingChars="200"/>
        <w:rPr>
          <w:rFonts w:hAnsi="宋体" w:cs="Times New Roman"/>
          <w:color w:val="auto"/>
          <w:sz w:val="24"/>
          <w:szCs w:val="24"/>
        </w:rPr>
      </w:pPr>
      <w:r>
        <w:rPr>
          <w:rFonts w:hAnsi="宋体"/>
          <w:color w:val="auto"/>
          <w:sz w:val="24"/>
          <w:szCs w:val="24"/>
        </w:rPr>
        <w:t>2</w:t>
      </w:r>
      <w:r>
        <w:rPr>
          <w:rFonts w:hint="eastAsia" w:hAnsi="宋体"/>
          <w:color w:val="auto"/>
          <w:sz w:val="24"/>
          <w:szCs w:val="24"/>
          <w:lang w:val="en-US" w:eastAsia="zh-CN"/>
        </w:rPr>
        <w:t xml:space="preserve"> </w:t>
      </w:r>
      <w:r>
        <w:rPr>
          <w:rFonts w:hint="eastAsia" w:hAnsi="宋体"/>
          <w:color w:val="auto"/>
          <w:sz w:val="24"/>
          <w:szCs w:val="24"/>
        </w:rPr>
        <w:t>本合同未尽事宜，遵照《合同法》有关条文执行。</w:t>
      </w:r>
    </w:p>
    <w:p>
      <w:pPr>
        <w:widowControl/>
        <w:spacing w:line="360" w:lineRule="auto"/>
        <w:rPr>
          <w:rFonts w:ascii="宋体"/>
          <w:b/>
          <w:bCs/>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 xml:space="preserve"> </w:t>
      </w:r>
      <w:r>
        <w:rPr>
          <w:rFonts w:hint="eastAsia" w:ascii="宋体" w:hAnsi="宋体" w:cs="宋体"/>
          <w:b/>
          <w:bCs/>
          <w:color w:val="auto"/>
          <w:sz w:val="24"/>
          <w:szCs w:val="24"/>
        </w:rPr>
        <w:t>本合同正本一式肆份，具有同等法律效力，甲乙双方各执两份。</w:t>
      </w:r>
    </w:p>
    <w:p>
      <w:pPr>
        <w:spacing w:line="360" w:lineRule="auto"/>
        <w:rPr>
          <w:rFonts w:ascii="宋体"/>
          <w:color w:val="auto"/>
          <w:sz w:val="24"/>
          <w:szCs w:val="24"/>
        </w:rPr>
      </w:pPr>
      <w:r>
        <w:rPr>
          <w:rFonts w:hint="eastAsia" w:ascii="宋体" w:hAnsi="宋体" w:cs="宋体"/>
          <w:color w:val="auto"/>
          <w:sz w:val="24"/>
          <w:szCs w:val="24"/>
        </w:rPr>
        <w:t>甲方（公章）</w:t>
      </w:r>
      <w:r>
        <w:rPr>
          <w:rFonts w:ascii="宋体" w:hAnsi="宋体" w:cs="宋体"/>
          <w:color w:val="auto"/>
          <w:sz w:val="24"/>
          <w:szCs w:val="24"/>
        </w:rPr>
        <w:t xml:space="preserve">                                     </w:t>
      </w:r>
      <w:r>
        <w:rPr>
          <w:rFonts w:hint="eastAsia" w:ascii="宋体" w:hAnsi="宋体" w:cs="宋体"/>
          <w:color w:val="auto"/>
          <w:sz w:val="24"/>
          <w:szCs w:val="24"/>
        </w:rPr>
        <w:t>乙方（公章）</w:t>
      </w:r>
    </w:p>
    <w:p>
      <w:pPr>
        <w:spacing w:line="360" w:lineRule="auto"/>
        <w:rPr>
          <w:rFonts w:ascii="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 xml:space="preserve">                                     </w:t>
      </w:r>
      <w:r>
        <w:rPr>
          <w:rFonts w:hint="eastAsia" w:ascii="宋体" w:hAnsi="宋体" w:cs="宋体"/>
          <w:color w:val="auto"/>
          <w:sz w:val="24"/>
          <w:szCs w:val="24"/>
        </w:rPr>
        <w:t>法定代表人：</w:t>
      </w:r>
    </w:p>
    <w:p>
      <w:pPr>
        <w:spacing w:line="360" w:lineRule="auto"/>
        <w:rPr>
          <w:rFonts w:ascii="宋体"/>
          <w:color w:val="auto"/>
          <w:sz w:val="24"/>
          <w:szCs w:val="24"/>
        </w:rPr>
      </w:pPr>
      <w:r>
        <w:rPr>
          <w:rFonts w:hint="eastAsia" w:ascii="宋体" w:hAnsi="宋体" w:cs="宋体"/>
          <w:color w:val="auto"/>
          <w:sz w:val="24"/>
          <w:szCs w:val="24"/>
        </w:rPr>
        <w:t>委托代理人：</w:t>
      </w:r>
      <w:r>
        <w:rPr>
          <w:rFonts w:ascii="宋体" w:hAnsi="宋体" w:cs="宋体"/>
          <w:color w:val="auto"/>
          <w:sz w:val="24"/>
          <w:szCs w:val="24"/>
        </w:rPr>
        <w:t xml:space="preserve">                                     </w:t>
      </w:r>
      <w:r>
        <w:rPr>
          <w:rFonts w:hint="eastAsia" w:ascii="宋体" w:hAnsi="宋体" w:cs="宋体"/>
          <w:color w:val="auto"/>
          <w:sz w:val="24"/>
          <w:szCs w:val="24"/>
        </w:rPr>
        <w:t>委托代理人：</w:t>
      </w:r>
    </w:p>
    <w:p>
      <w:pPr>
        <w:spacing w:line="360" w:lineRule="auto"/>
        <w:rPr>
          <w:rFonts w:ascii="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 xml:space="preserve">                                       </w:t>
      </w:r>
      <w:r>
        <w:rPr>
          <w:rFonts w:hint="eastAsia" w:ascii="宋体" w:hAnsi="宋体" w:cs="宋体"/>
          <w:color w:val="auto"/>
          <w:sz w:val="24"/>
          <w:szCs w:val="24"/>
        </w:rPr>
        <w:t>联系电话：</w:t>
      </w:r>
    </w:p>
    <w:p>
      <w:pPr>
        <w:spacing w:line="360" w:lineRule="auto"/>
        <w:rPr>
          <w:rFonts w:ascii="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p>
    <w:p>
      <w:pPr>
        <w:spacing w:line="360" w:lineRule="auto"/>
        <w:rPr>
          <w:rFonts w:ascii="宋体"/>
          <w:color w:val="auto"/>
          <w:sz w:val="24"/>
          <w:szCs w:val="24"/>
        </w:rPr>
      </w:pPr>
      <w:r>
        <w:rPr>
          <w:rFonts w:hint="eastAsia" w:ascii="宋体" w:hAnsi="宋体" w:cs="宋体"/>
          <w:color w:val="auto"/>
          <w:sz w:val="24"/>
          <w:szCs w:val="24"/>
        </w:rPr>
        <w:t>帐号：</w:t>
      </w:r>
      <w:r>
        <w:rPr>
          <w:rFonts w:ascii="宋体" w:hAnsi="宋体" w:cs="宋体"/>
          <w:color w:val="auto"/>
          <w:sz w:val="24"/>
          <w:szCs w:val="24"/>
        </w:rPr>
        <w:t xml:space="preserve">                                           </w:t>
      </w:r>
      <w:r>
        <w:rPr>
          <w:rFonts w:hint="eastAsia" w:ascii="宋体" w:hAnsi="宋体" w:cs="宋体"/>
          <w:color w:val="auto"/>
          <w:sz w:val="24"/>
          <w:szCs w:val="24"/>
        </w:rPr>
        <w:t>帐号：</w:t>
      </w:r>
    </w:p>
    <w:p>
      <w:pPr>
        <w:spacing w:line="360" w:lineRule="auto"/>
        <w:rPr>
          <w:rFonts w:ascii="宋体"/>
          <w:color w:val="auto"/>
          <w:kern w:val="0"/>
          <w:sz w:val="24"/>
          <w:szCs w:val="24"/>
        </w:rPr>
      </w:pPr>
      <w:r>
        <w:rPr>
          <w:rFonts w:hint="eastAsia" w:ascii="宋体" w:hAnsi="宋体" w:cs="宋体"/>
          <w:color w:val="auto"/>
          <w:sz w:val="24"/>
          <w:szCs w:val="24"/>
        </w:rPr>
        <w:t>地址及邮编：</w:t>
      </w:r>
      <w:r>
        <w:rPr>
          <w:rFonts w:ascii="宋体" w:hAnsi="宋体" w:cs="宋体"/>
          <w:color w:val="auto"/>
          <w:sz w:val="24"/>
          <w:szCs w:val="24"/>
        </w:rPr>
        <w:t xml:space="preserve">                                     </w:t>
      </w:r>
      <w:r>
        <w:rPr>
          <w:rFonts w:hint="eastAsia" w:ascii="宋体" w:hAnsi="宋体" w:cs="宋体"/>
          <w:color w:val="auto"/>
          <w:sz w:val="24"/>
          <w:szCs w:val="24"/>
        </w:rPr>
        <w:t>地址及邮编：</w:t>
      </w:r>
    </w:p>
    <w:p>
      <w:pPr>
        <w:widowControl/>
        <w:spacing w:line="400" w:lineRule="exact"/>
        <w:jc w:val="left"/>
        <w:rPr>
          <w:rFonts w:ascii="宋体"/>
          <w:color w:val="auto"/>
          <w:kern w:val="0"/>
          <w:sz w:val="24"/>
          <w:szCs w:val="24"/>
        </w:rPr>
      </w:pPr>
    </w:p>
    <w:p>
      <w:pPr>
        <w:spacing w:line="360" w:lineRule="auto"/>
        <w:jc w:val="right"/>
        <w:rPr>
          <w:rFonts w:ascii="宋体"/>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spacing w:line="360" w:lineRule="auto"/>
        <w:jc w:val="left"/>
        <w:rPr>
          <w:rFonts w:ascii="宋体"/>
          <w:color w:val="auto"/>
          <w:sz w:val="28"/>
          <w:szCs w:val="28"/>
          <w:highlight w:val="none"/>
        </w:rPr>
      </w:pPr>
    </w:p>
    <w:p>
      <w:pPr>
        <w:spacing w:line="360" w:lineRule="auto"/>
        <w:jc w:val="left"/>
        <w:rPr>
          <w:rFonts w:ascii="宋体"/>
          <w:color w:val="auto"/>
          <w:sz w:val="28"/>
          <w:szCs w:val="28"/>
          <w:highlight w:val="none"/>
        </w:rPr>
      </w:pPr>
    </w:p>
    <w:p>
      <w:pPr>
        <w:pStyle w:val="6"/>
        <w:rPr>
          <w:rFonts w:ascii="宋体"/>
          <w:color w:val="auto"/>
          <w:sz w:val="28"/>
          <w:szCs w:val="28"/>
          <w:highlight w:val="none"/>
        </w:rPr>
      </w:pPr>
    </w:p>
    <w:p>
      <w:pPr>
        <w:rPr>
          <w:rFonts w:ascii="宋体"/>
          <w:color w:val="auto"/>
          <w:sz w:val="28"/>
          <w:szCs w:val="28"/>
          <w:highlight w:val="none"/>
        </w:rPr>
      </w:pPr>
    </w:p>
    <w:p>
      <w:pPr>
        <w:spacing w:line="360" w:lineRule="auto"/>
        <w:jc w:val="center"/>
        <w:rPr>
          <w:rFonts w:ascii="宋体"/>
          <w:b/>
          <w:bCs/>
          <w:color w:val="auto"/>
          <w:sz w:val="36"/>
          <w:szCs w:val="36"/>
          <w:highlight w:val="none"/>
        </w:rPr>
      </w:pPr>
    </w:p>
    <w:p>
      <w:pPr>
        <w:pStyle w:val="31"/>
        <w:rPr>
          <w:rFonts w:cs="Times New Roman"/>
          <w:color w:val="auto"/>
          <w:highlight w:val="none"/>
        </w:rPr>
      </w:pPr>
    </w:p>
    <w:p>
      <w:pPr>
        <w:rPr>
          <w:rFonts w:ascii="宋体"/>
          <w:b/>
          <w:bCs/>
          <w:color w:val="auto"/>
          <w:sz w:val="36"/>
          <w:szCs w:val="36"/>
          <w:highlight w:val="none"/>
        </w:rPr>
      </w:pPr>
      <w:r>
        <w:rPr>
          <w:rFonts w:ascii="宋体"/>
          <w:b/>
          <w:bCs/>
          <w:color w:val="auto"/>
          <w:sz w:val="36"/>
          <w:szCs w:val="36"/>
          <w:highlight w:val="none"/>
        </w:rPr>
        <w:br w:type="page"/>
      </w:r>
    </w:p>
    <w:p>
      <w:pPr>
        <w:pStyle w:val="2"/>
        <w:rPr>
          <w:color w:val="auto"/>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pPr>
        <w:rPr>
          <w:rFonts w:ascii="宋体"/>
          <w:b/>
          <w:bCs/>
          <w:color w:val="auto"/>
          <w:kern w:val="0"/>
          <w:sz w:val="28"/>
          <w:szCs w:val="28"/>
          <w:highlight w:val="none"/>
        </w:rPr>
      </w:pPr>
      <w:r>
        <w:rPr>
          <w:rFonts w:hint="eastAsia" w:ascii="宋体" w:hAnsi="宋体" w:cs="宋体"/>
          <w:b/>
          <w:bCs/>
          <w:color w:val="auto"/>
          <w:kern w:val="0"/>
          <w:sz w:val="28"/>
          <w:szCs w:val="28"/>
          <w:highlight w:val="none"/>
        </w:rPr>
        <w:t>附件</w:t>
      </w:r>
      <w:r>
        <w:rPr>
          <w:rFonts w:ascii="宋体" w:hAnsi="宋体" w:cs="宋体"/>
          <w:b/>
          <w:bCs/>
          <w:color w:val="auto"/>
          <w:kern w:val="0"/>
          <w:sz w:val="28"/>
          <w:szCs w:val="28"/>
          <w:highlight w:val="none"/>
        </w:rPr>
        <w:t>1</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　　　</w:t>
      </w:r>
    </w:p>
    <w:p>
      <w:pPr>
        <w:adjustRightInd w:val="0"/>
        <w:snapToGrid w:val="0"/>
        <w:spacing w:line="360" w:lineRule="auto"/>
        <w:ind w:right="480"/>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投标声明书</w:t>
      </w:r>
    </w:p>
    <w:p>
      <w:pPr>
        <w:snapToGrid w:val="0"/>
        <w:spacing w:beforeLines="50" w:after="50"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（采购代理机构名称）：</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rPr>
        <w:t>系中华人民共和国合法企业，经营地址</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我（</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姓名</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投标人名称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）的法定代表人，我公司自愿参加贵方组织的（</w:t>
      </w:r>
      <w:r>
        <w:rPr>
          <w:rFonts w:hint="eastAsia" w:ascii="宋体" w:hAnsi="宋体" w:cs="宋体"/>
          <w:color w:val="auto"/>
          <w:kern w:val="0"/>
          <w:sz w:val="24"/>
          <w:szCs w:val="24"/>
          <w:highlight w:val="none"/>
          <w:u w:val="single"/>
        </w:rPr>
        <w:t>招标项目名称</w:t>
      </w:r>
      <w:r>
        <w:rPr>
          <w:rFonts w:hint="eastAsia" w:ascii="宋体" w:hAnsi="宋体" w:cs="宋体"/>
          <w:color w:val="auto"/>
          <w:kern w:val="0"/>
          <w:sz w:val="24"/>
          <w:szCs w:val="24"/>
          <w:highlight w:val="none"/>
        </w:rPr>
        <w:t>）（编号为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）的投标，为此，我公司就本次投标有关事项郑重声明如下：</w:t>
      </w:r>
    </w:p>
    <w:p>
      <w:pPr>
        <w:snapToGrid w:val="0"/>
        <w:spacing w:line="360" w:lineRule="auto"/>
        <w:ind w:firstLine="480" w:firstLineChars="200"/>
        <w:rPr>
          <w:rFonts w:ascii="宋体"/>
          <w:b/>
          <w:bCs/>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hint="eastAsia" w:ascii="Arial" w:hAnsi="Arial" w:cs="宋体"/>
          <w:color w:val="auto"/>
          <w:sz w:val="24"/>
          <w:szCs w:val="24"/>
          <w:highlight w:val="none"/>
        </w:rPr>
        <w:t>我公司声明截止投标时间近三年以来：在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sz w:val="24"/>
          <w:szCs w:val="24"/>
          <w:highlight w:val="none"/>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color w:val="auto"/>
          <w:kern w:val="0"/>
          <w:sz w:val="24"/>
          <w:szCs w:val="24"/>
          <w:highlight w:val="none"/>
          <w:lang w:val="af-ZA"/>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rPr>
        <w:t>保证，</w:t>
      </w:r>
      <w:r>
        <w:rPr>
          <w:rFonts w:hint="eastAsia" w:ascii="宋体" w:hAnsi="宋体" w:cs="宋体"/>
          <w:color w:val="auto"/>
          <w:kern w:val="0"/>
          <w:sz w:val="24"/>
          <w:szCs w:val="24"/>
          <w:highlight w:val="none"/>
          <w:lang w:val="af-ZA"/>
        </w:rPr>
        <w:t>采购人在中华人民共和国境内使用</w:t>
      </w: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_GB2312" w:hAnsi="??_GB2312" w:cs="??_GB2312"/>
          <w:color w:val="auto"/>
          <w:sz w:val="24"/>
          <w:szCs w:val="24"/>
          <w:highlight w:val="none"/>
        </w:rPr>
      </w:pPr>
      <w:r>
        <w:rPr>
          <w:rFonts w:ascii="宋体" w:hAnsi="宋体" w:cs="宋体"/>
          <w:color w:val="auto"/>
          <w:kern w:val="0"/>
          <w:sz w:val="24"/>
          <w:szCs w:val="24"/>
          <w:highlight w:val="none"/>
          <w:lang w:val="af-ZA"/>
        </w:rPr>
        <w:t>5</w:t>
      </w:r>
      <w:r>
        <w:rPr>
          <w:rFonts w:hint="eastAsia" w:ascii="宋体" w:hAnsi="宋体" w:cs="宋体"/>
          <w:color w:val="auto"/>
          <w:kern w:val="0"/>
          <w:sz w:val="24"/>
          <w:szCs w:val="24"/>
          <w:highlight w:val="none"/>
          <w:lang w:val="af-ZA"/>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lang w:val="af-ZA"/>
        </w:rPr>
        <w:t>严格履行采购合同，不降低合同约定的产品质量和服务，不擅自变更、中止、终止合同，或拒绝履行合同义务；</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、以上事项如有虚假或隐瞒，我</w:t>
      </w:r>
      <w:r>
        <w:rPr>
          <w:rFonts w:hint="eastAsia" w:ascii="宋体" w:hAnsi="宋体" w:cs="宋体"/>
          <w:color w:val="auto"/>
          <w:kern w:val="0"/>
          <w:sz w:val="24"/>
          <w:szCs w:val="24"/>
          <w:highlight w:val="none"/>
          <w:lang w:val="zh-CN"/>
        </w:rPr>
        <w:t>公司</w:t>
      </w:r>
      <w:r>
        <w:rPr>
          <w:rFonts w:hint="eastAsia" w:ascii="宋体" w:hAnsi="宋体" w:cs="宋体"/>
          <w:color w:val="auto"/>
          <w:sz w:val="24"/>
          <w:szCs w:val="24"/>
          <w:highlight w:val="none"/>
        </w:rPr>
        <w:t>愿意承担一切后果，并不再寻求任何旨在减轻或免除法律责任的辩解。</w:t>
      </w:r>
    </w:p>
    <w:p>
      <w:pPr>
        <w:adjustRightInd w:val="0"/>
        <w:snapToGrid w:val="0"/>
        <w:spacing w:line="360" w:lineRule="auto"/>
        <w:ind w:firstLine="480"/>
        <w:rPr>
          <w:rFonts w:ascii="宋体"/>
          <w:color w:val="auto"/>
          <w:kern w:val="0"/>
          <w:sz w:val="24"/>
          <w:szCs w:val="24"/>
          <w:highlight w:val="none"/>
        </w:rPr>
      </w:pPr>
    </w:p>
    <w:p>
      <w:pPr>
        <w:adjustRightInd w:val="0"/>
        <w:snapToGrid w:val="0"/>
        <w:spacing w:line="360" w:lineRule="auto"/>
        <w:ind w:firstLine="4680" w:firstLineChars="1950"/>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投标人名称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adjustRightInd w:val="0"/>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法定代表人或授权委托人</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签字</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adjustRightInd w:val="0"/>
        <w:snapToGrid w:val="0"/>
        <w:spacing w:line="360" w:lineRule="auto"/>
        <w:ind w:right="480"/>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ascii="宋体" w:hAnsi="宋体" w:cs="宋体"/>
          <w:color w:val="auto"/>
          <w:sz w:val="24"/>
          <w:szCs w:val="24"/>
          <w:highlight w:val="none"/>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ascii="宋体" w:hAnsi="宋体" w:cs="宋体"/>
          <w:color w:val="auto"/>
          <w:sz w:val="24"/>
          <w:szCs w:val="24"/>
          <w:highlight w:val="none"/>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adjustRightInd w:val="0"/>
        <w:snapToGrid w:val="0"/>
        <w:spacing w:line="360" w:lineRule="auto"/>
        <w:ind w:right="480"/>
        <w:rPr>
          <w:rFonts w:ascii="宋体"/>
          <w:b/>
          <w:bCs/>
          <w:color w:val="auto"/>
          <w:sz w:val="28"/>
          <w:szCs w:val="28"/>
          <w:highlight w:val="none"/>
        </w:rPr>
      </w:pP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adjustRightInd w:val="0"/>
        <w:snapToGrid w:val="0"/>
        <w:spacing w:line="360" w:lineRule="auto"/>
        <w:ind w:right="480"/>
        <w:rPr>
          <w:rFonts w:ascii="宋体"/>
          <w:b/>
          <w:bCs/>
          <w:color w:val="auto"/>
          <w:sz w:val="30"/>
          <w:szCs w:val="30"/>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2</w:t>
      </w:r>
    </w:p>
    <w:p>
      <w:pPr>
        <w:spacing w:line="360" w:lineRule="auto"/>
        <w:ind w:firstLine="321" w:firstLineChars="100"/>
        <w:jc w:val="center"/>
        <w:rPr>
          <w:rFonts w:hAnsi="宋体"/>
          <w:b/>
          <w:bCs/>
          <w:color w:val="auto"/>
          <w:sz w:val="32"/>
          <w:szCs w:val="32"/>
          <w:highlight w:val="none"/>
          <w:u w:val="single"/>
        </w:rPr>
      </w:pPr>
      <w:r>
        <w:rPr>
          <w:rFonts w:hint="eastAsia" w:cs="宋体"/>
          <w:b/>
          <w:bCs/>
          <w:color w:val="auto"/>
          <w:sz w:val="32"/>
          <w:szCs w:val="32"/>
          <w:highlight w:val="none"/>
        </w:rPr>
        <w:t>授权委托书</w:t>
      </w:r>
    </w:p>
    <w:p>
      <w:pPr>
        <w:snapToGrid w:val="0"/>
        <w:spacing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（采购代理机构名称）：</w:t>
      </w:r>
    </w:p>
    <w:p>
      <w:pPr>
        <w:pStyle w:val="15"/>
        <w:spacing w:line="500" w:lineRule="exact"/>
        <w:ind w:left="240" w:hanging="240" w:hangingChars="100"/>
        <w:rPr>
          <w:rFonts w:hAnsi="宋体" w:cs="Times New Roman"/>
          <w:color w:val="auto"/>
          <w:sz w:val="24"/>
          <w:szCs w:val="24"/>
          <w:highlight w:val="none"/>
        </w:rPr>
      </w:pPr>
      <w:r>
        <w:rPr>
          <w:rFonts w:hAnsi="宋体"/>
          <w:color w:val="auto"/>
          <w:sz w:val="24"/>
          <w:szCs w:val="24"/>
          <w:highlight w:val="none"/>
          <w:u w:val="single"/>
        </w:rPr>
        <w:t xml:space="preserve">  </w:t>
      </w:r>
      <w:r>
        <w:rPr>
          <w:rFonts w:hint="eastAsia" w:hAnsi="宋体"/>
          <w:color w:val="auto"/>
          <w:sz w:val="24"/>
          <w:szCs w:val="24"/>
          <w:highlight w:val="none"/>
          <w:u w:val="single"/>
        </w:rPr>
        <w:t>（投标人全称）</w:t>
      </w:r>
      <w:r>
        <w:rPr>
          <w:rFonts w:hAnsi="宋体"/>
          <w:color w:val="auto"/>
          <w:sz w:val="24"/>
          <w:szCs w:val="24"/>
          <w:highlight w:val="none"/>
          <w:u w:val="single"/>
        </w:rPr>
        <w:t xml:space="preserve">  </w:t>
      </w:r>
      <w:r>
        <w:rPr>
          <w:rFonts w:hint="eastAsia" w:hAnsi="宋体"/>
          <w:color w:val="auto"/>
          <w:sz w:val="24"/>
          <w:szCs w:val="24"/>
          <w:highlight w:val="none"/>
        </w:rPr>
        <w:t>法定代表人</w:t>
      </w:r>
      <w:r>
        <w:rPr>
          <w:rFonts w:hAnsi="宋体" w:cs="Times New Roman"/>
          <w:color w:val="auto"/>
          <w:sz w:val="24"/>
          <w:szCs w:val="24"/>
          <w:highlight w:val="none"/>
          <w:u w:val="single"/>
        </w:rPr>
        <w:tab/>
      </w:r>
      <w:r>
        <w:rPr>
          <w:rFonts w:hint="eastAsia" w:hAnsi="宋体"/>
          <w:color w:val="auto"/>
          <w:sz w:val="24"/>
          <w:szCs w:val="24"/>
          <w:highlight w:val="none"/>
          <w:u w:val="single"/>
        </w:rPr>
        <w:t>（法定代表人姓名）</w:t>
      </w:r>
      <w:r>
        <w:rPr>
          <w:rFonts w:hAnsi="宋体"/>
          <w:color w:val="auto"/>
          <w:sz w:val="24"/>
          <w:szCs w:val="24"/>
          <w:highlight w:val="none"/>
          <w:u w:val="single"/>
        </w:rPr>
        <w:t xml:space="preserve"> </w:t>
      </w:r>
      <w:r>
        <w:rPr>
          <w:rFonts w:hint="eastAsia" w:hAnsi="宋体"/>
          <w:color w:val="auto"/>
          <w:sz w:val="24"/>
          <w:szCs w:val="24"/>
          <w:highlight w:val="none"/>
        </w:rPr>
        <w:t>授权</w:t>
      </w:r>
      <w:r>
        <w:rPr>
          <w:rFonts w:hAnsi="宋体"/>
          <w:color w:val="auto"/>
          <w:sz w:val="24"/>
          <w:szCs w:val="24"/>
          <w:highlight w:val="none"/>
          <w:u w:val="single"/>
        </w:rPr>
        <w:t xml:space="preserve">   </w:t>
      </w:r>
      <w:r>
        <w:rPr>
          <w:rFonts w:hint="eastAsia" w:hAnsi="宋体"/>
          <w:color w:val="auto"/>
          <w:sz w:val="24"/>
          <w:szCs w:val="24"/>
          <w:highlight w:val="none"/>
          <w:u w:val="single"/>
        </w:rPr>
        <w:t>（全权代表姓名）</w:t>
      </w:r>
      <w:r>
        <w:rPr>
          <w:rFonts w:hAnsi="宋体"/>
          <w:color w:val="auto"/>
          <w:sz w:val="24"/>
          <w:szCs w:val="24"/>
          <w:highlight w:val="none"/>
          <w:u w:val="single"/>
        </w:rPr>
        <w:t xml:space="preserve"> </w:t>
      </w:r>
      <w:r>
        <w:rPr>
          <w:rFonts w:hint="eastAsia" w:hAnsi="宋体"/>
          <w:color w:val="auto"/>
          <w:sz w:val="24"/>
          <w:szCs w:val="24"/>
          <w:highlight w:val="none"/>
        </w:rPr>
        <w:t>为全权代表，参加贵单位组织的</w:t>
      </w:r>
      <w:r>
        <w:rPr>
          <w:rFonts w:hAnsi="宋体" w:cs="Times New Roman"/>
          <w:color w:val="auto"/>
          <w:sz w:val="24"/>
          <w:szCs w:val="24"/>
          <w:highlight w:val="none"/>
          <w:u w:val="single"/>
        </w:rPr>
        <w:tab/>
      </w:r>
      <w:r>
        <w:rPr>
          <w:rFonts w:hint="eastAsia" w:hAnsi="宋体"/>
          <w:color w:val="auto"/>
          <w:sz w:val="24"/>
          <w:szCs w:val="24"/>
          <w:highlight w:val="none"/>
        </w:rPr>
        <w:t>项目的采购活动，并代表我方全权办理针对上述项目的投标、开标、评标、签约等具体事务和签署相关文件。我方对全权代表的签字事项负全部责任。</w:t>
      </w:r>
    </w:p>
    <w:p>
      <w:pPr>
        <w:pStyle w:val="15"/>
        <w:spacing w:line="500" w:lineRule="exact"/>
        <w:ind w:left="139" w:leftChars="66" w:firstLine="480" w:firstLineChars="200"/>
        <w:rPr>
          <w:rFonts w:hAnsi="宋体" w:cs="Times New Roman"/>
          <w:color w:val="auto"/>
          <w:sz w:val="24"/>
          <w:szCs w:val="24"/>
          <w:highlight w:val="none"/>
        </w:rPr>
      </w:pPr>
      <w:r>
        <w:rPr>
          <w:rFonts w:hint="eastAsia" w:hAnsi="宋体"/>
          <w:color w:val="auto"/>
          <w:sz w:val="24"/>
          <w:szCs w:val="24"/>
          <w:highlight w:val="none"/>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rFonts w:hAnsi="宋体" w:cs="Times New Roman"/>
          <w:color w:val="auto"/>
          <w:sz w:val="24"/>
          <w:szCs w:val="24"/>
          <w:highlight w:val="none"/>
        </w:rPr>
      </w:pPr>
      <w:r>
        <w:rPr>
          <w:rFonts w:hint="eastAsia" w:hAnsi="宋体"/>
          <w:color w:val="auto"/>
          <w:sz w:val="24"/>
          <w:szCs w:val="24"/>
          <w:highlight w:val="none"/>
        </w:rPr>
        <w:t>全权代表无转委托权，特此委托。</w:t>
      </w:r>
    </w:p>
    <w:p>
      <w:pPr>
        <w:spacing w:line="360" w:lineRule="auto"/>
        <w:rPr>
          <w:b/>
          <w:bCs/>
          <w:color w:val="auto"/>
          <w:sz w:val="24"/>
          <w:szCs w:val="24"/>
          <w:highlight w:val="none"/>
        </w:rPr>
      </w:pPr>
    </w:p>
    <w:p>
      <w:pPr>
        <w:spacing w:line="360" w:lineRule="auto"/>
        <w:rPr>
          <w:color w:val="auto"/>
          <w:sz w:val="24"/>
          <w:szCs w:val="24"/>
          <w:highlight w:val="none"/>
        </w:rPr>
      </w:pPr>
      <w:r>
        <w:rPr>
          <w:rFonts w:hint="eastAsia" w:ascii="宋体" w:cs="宋体"/>
          <w:color w:val="auto"/>
          <w:sz w:val="24"/>
          <w:szCs w:val="24"/>
          <w:highlight w:val="none"/>
        </w:rPr>
        <w:t>法定代表人签字或盖章：</w:t>
      </w:r>
    </w:p>
    <w:p>
      <w:pPr>
        <w:spacing w:line="360" w:lineRule="auto"/>
        <w:rPr>
          <w:color w:val="auto"/>
          <w:sz w:val="24"/>
          <w:szCs w:val="24"/>
          <w:highlight w:val="none"/>
        </w:rPr>
      </w:pPr>
      <w:r>
        <w:rPr>
          <w:rFonts w:hint="eastAsia" w:ascii="宋体" w:cs="宋体"/>
          <w:color w:val="auto"/>
          <w:sz w:val="24"/>
          <w:szCs w:val="24"/>
          <w:highlight w:val="none"/>
        </w:rPr>
        <w:t>投标人全称（公章）：</w:t>
      </w:r>
      <w:r>
        <w:rPr>
          <w:rFonts w:ascii="宋体" w:cs="宋体"/>
          <w:color w:val="auto"/>
          <w:sz w:val="24"/>
          <w:szCs w:val="24"/>
          <w:highlight w:val="none"/>
        </w:rPr>
        <w:t xml:space="preserve">                              </w:t>
      </w:r>
      <w:r>
        <w:rPr>
          <w:rFonts w:hint="eastAsia" w:ascii="宋体" w:cs="宋体"/>
          <w:color w:val="auto"/>
          <w:sz w:val="24"/>
          <w:szCs w:val="24"/>
          <w:highlight w:val="none"/>
        </w:rPr>
        <w:t>日期：</w:t>
      </w:r>
    </w:p>
    <w:p>
      <w:pPr>
        <w:spacing w:line="360" w:lineRule="auto"/>
        <w:rPr>
          <w:color w:val="auto"/>
          <w:sz w:val="24"/>
          <w:szCs w:val="24"/>
          <w:highlight w:val="none"/>
        </w:rPr>
      </w:pPr>
    </w:p>
    <w:p>
      <w:pPr>
        <w:spacing w:line="360" w:lineRule="auto"/>
        <w:rPr>
          <w:b/>
          <w:bCs/>
          <w:color w:val="auto"/>
          <w:sz w:val="24"/>
          <w:szCs w:val="24"/>
          <w:highlight w:val="none"/>
        </w:rPr>
      </w:pPr>
      <w:r>
        <w:rPr>
          <w:rFonts w:hint="eastAsia" w:ascii="宋体" w:cs="宋体"/>
          <w:b/>
          <w:bCs/>
          <w:color w:val="auto"/>
          <w:sz w:val="24"/>
          <w:szCs w:val="24"/>
          <w:highlight w:val="none"/>
        </w:rPr>
        <w:t>附：</w:t>
      </w:r>
    </w:p>
    <w:tbl>
      <w:tblPr>
        <w:tblStyle w:val="24"/>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bCs/>
                <w:color w:val="auto"/>
                <w:sz w:val="24"/>
                <w:szCs w:val="24"/>
                <w:highlight w:val="none"/>
              </w:rPr>
            </w:pPr>
          </w:p>
          <w:p>
            <w:pPr>
              <w:spacing w:line="360" w:lineRule="auto"/>
              <w:ind w:firstLine="361" w:firstLineChars="150"/>
              <w:rPr>
                <w:rFonts w:ascii="宋体"/>
                <w:b/>
                <w:bCs/>
                <w:color w:val="auto"/>
                <w:sz w:val="24"/>
                <w:szCs w:val="24"/>
                <w:highlight w:val="none"/>
              </w:rPr>
            </w:pPr>
            <w:r>
              <w:rPr>
                <w:rFonts w:hint="eastAsia" w:ascii="宋体" w:cs="宋体"/>
                <w:b/>
                <w:bCs/>
                <w:color w:val="auto"/>
                <w:sz w:val="24"/>
                <w:szCs w:val="24"/>
                <w:highlight w:val="none"/>
              </w:rPr>
              <w:t>法定代表身份证复印件粘帖处</w:t>
            </w:r>
          </w:p>
        </w:tc>
      </w:tr>
    </w:tbl>
    <w:p>
      <w:pPr>
        <w:spacing w:line="360" w:lineRule="auto"/>
        <w:rPr>
          <w:color w:val="auto"/>
          <w:sz w:val="24"/>
          <w:szCs w:val="24"/>
          <w:highlight w:val="none"/>
        </w:rPr>
      </w:pPr>
      <w:r>
        <w:rPr>
          <w:rFonts w:hint="eastAsia" w:ascii="宋体" w:cs="宋体"/>
          <w:color w:val="auto"/>
          <w:sz w:val="24"/>
          <w:szCs w:val="24"/>
          <w:highlight w:val="none"/>
        </w:rPr>
        <w:t>法定代表人姓名：</w:t>
      </w:r>
      <w:r>
        <w:rPr>
          <w:rFonts w:ascii="宋体" w:cs="宋体"/>
          <w:color w:val="auto"/>
          <w:sz w:val="24"/>
          <w:szCs w:val="24"/>
          <w:highlight w:val="none"/>
        </w:rPr>
        <w:t xml:space="preserve">                                 </w:t>
      </w:r>
    </w:p>
    <w:p>
      <w:pPr>
        <w:spacing w:line="360" w:lineRule="auto"/>
        <w:rPr>
          <w:color w:val="auto"/>
          <w:sz w:val="24"/>
          <w:szCs w:val="24"/>
          <w:highlight w:val="none"/>
        </w:rPr>
      </w:pPr>
      <w:r>
        <w:rPr>
          <w:rFonts w:hint="eastAsia" w:asci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cs="宋体"/>
          <w:color w:val="auto"/>
          <w:sz w:val="24"/>
          <w:szCs w:val="24"/>
          <w:highlight w:val="none"/>
        </w:rPr>
        <w:t>电话：</w:t>
      </w:r>
    </w:p>
    <w:p>
      <w:pPr>
        <w:spacing w:line="360" w:lineRule="auto"/>
        <w:rPr>
          <w:color w:val="auto"/>
          <w:sz w:val="24"/>
          <w:szCs w:val="24"/>
          <w:highlight w:val="none"/>
        </w:rPr>
      </w:pPr>
      <w:r>
        <w:rPr>
          <w:rFonts w:hint="eastAsia" w:asci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cs="宋体"/>
          <w:color w:val="auto"/>
          <w:sz w:val="24"/>
          <w:szCs w:val="24"/>
          <w:highlight w:val="none"/>
        </w:rPr>
        <w:t>邮政编码：</w:t>
      </w:r>
    </w:p>
    <w:p>
      <w:pPr>
        <w:spacing w:line="360" w:lineRule="auto"/>
        <w:rPr>
          <w:b/>
          <w:bCs/>
          <w:color w:val="auto"/>
          <w:sz w:val="24"/>
          <w:szCs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bCs/>
                <w:color w:val="auto"/>
                <w:sz w:val="24"/>
                <w:szCs w:val="24"/>
                <w:highlight w:val="none"/>
              </w:rPr>
            </w:pPr>
          </w:p>
          <w:p>
            <w:pPr>
              <w:spacing w:line="360" w:lineRule="auto"/>
              <w:ind w:firstLine="361" w:firstLineChars="150"/>
              <w:rPr>
                <w:rFonts w:ascii="宋体"/>
                <w:b/>
                <w:bCs/>
                <w:color w:val="auto"/>
                <w:sz w:val="24"/>
                <w:szCs w:val="24"/>
                <w:highlight w:val="none"/>
              </w:rPr>
            </w:pPr>
            <w:r>
              <w:rPr>
                <w:rFonts w:hint="eastAsia" w:ascii="宋体" w:cs="宋体"/>
                <w:b/>
                <w:bCs/>
                <w:color w:val="auto"/>
                <w:sz w:val="24"/>
                <w:szCs w:val="24"/>
                <w:highlight w:val="none"/>
              </w:rPr>
              <w:t>全权代表身份证复印件粘帖处</w:t>
            </w:r>
          </w:p>
        </w:tc>
      </w:tr>
    </w:tbl>
    <w:p>
      <w:pPr>
        <w:spacing w:line="360" w:lineRule="auto"/>
        <w:rPr>
          <w:rFonts w:ascii="宋体" w:cs="宋体"/>
          <w:color w:val="auto"/>
          <w:sz w:val="24"/>
          <w:szCs w:val="24"/>
          <w:highlight w:val="none"/>
        </w:rPr>
      </w:pPr>
      <w:r>
        <w:rPr>
          <w:rFonts w:hint="eastAsia" w:ascii="宋体" w:cs="宋体"/>
          <w:color w:val="auto"/>
          <w:sz w:val="24"/>
          <w:szCs w:val="24"/>
          <w:highlight w:val="none"/>
        </w:rPr>
        <w:t>全权代表姓名：</w:t>
      </w:r>
      <w:r>
        <w:rPr>
          <w:rFonts w:ascii="宋体" w:cs="宋体"/>
          <w:color w:val="auto"/>
          <w:sz w:val="24"/>
          <w:szCs w:val="24"/>
          <w:highlight w:val="none"/>
        </w:rPr>
        <w:t xml:space="preserve">       </w:t>
      </w:r>
    </w:p>
    <w:p>
      <w:pPr>
        <w:spacing w:line="360" w:lineRule="auto"/>
        <w:rPr>
          <w:color w:val="auto"/>
          <w:sz w:val="24"/>
          <w:szCs w:val="24"/>
          <w:highlight w:val="none"/>
        </w:rPr>
      </w:pPr>
      <w:r>
        <w:rPr>
          <w:rFonts w:hint="eastAsia" w:ascii="宋体" w:cs="宋体"/>
          <w:color w:val="auto"/>
          <w:sz w:val="24"/>
          <w:szCs w:val="24"/>
          <w:highlight w:val="none"/>
        </w:rPr>
        <w:t>职务：</w:t>
      </w:r>
      <w:r>
        <w:rPr>
          <w:rFonts w:ascii="宋体" w:cs="宋体"/>
          <w:color w:val="auto"/>
          <w:sz w:val="24"/>
          <w:szCs w:val="24"/>
          <w:highlight w:val="none"/>
        </w:rPr>
        <w:t xml:space="preserve">                           </w:t>
      </w:r>
    </w:p>
    <w:p>
      <w:pPr>
        <w:spacing w:line="360" w:lineRule="auto"/>
        <w:rPr>
          <w:color w:val="auto"/>
          <w:sz w:val="24"/>
          <w:szCs w:val="24"/>
          <w:highlight w:val="none"/>
        </w:rPr>
      </w:pPr>
      <w:r>
        <w:rPr>
          <w:rFonts w:hint="eastAsia" w:asci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cs="宋体"/>
          <w:color w:val="auto"/>
          <w:sz w:val="24"/>
          <w:szCs w:val="24"/>
          <w:highlight w:val="none"/>
        </w:rPr>
        <w:t>电话：</w:t>
      </w:r>
    </w:p>
    <w:p>
      <w:pPr>
        <w:spacing w:line="360" w:lineRule="auto"/>
        <w:rPr>
          <w:color w:val="auto"/>
          <w:sz w:val="24"/>
          <w:szCs w:val="24"/>
          <w:highlight w:val="none"/>
        </w:rPr>
      </w:pPr>
      <w:r>
        <w:rPr>
          <w:rFonts w:hint="eastAsia" w:asci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cs="宋体"/>
          <w:color w:val="auto"/>
          <w:sz w:val="24"/>
          <w:szCs w:val="24"/>
          <w:highlight w:val="none"/>
        </w:rPr>
        <w:t>邮政编码：</w:t>
      </w:r>
    </w:p>
    <w:p>
      <w:pPr>
        <w:rPr>
          <w:rFonts w:ascii="宋体"/>
          <w:b/>
          <w:bCs/>
          <w:color w:val="auto"/>
          <w:sz w:val="28"/>
          <w:szCs w:val="28"/>
          <w:highlight w:val="none"/>
          <w:lang w:val="zh-CN"/>
        </w:rPr>
      </w:pPr>
      <w:r>
        <w:rPr>
          <w:rFonts w:ascii="宋体"/>
          <w:b/>
          <w:bCs/>
          <w:color w:val="auto"/>
          <w:sz w:val="28"/>
          <w:szCs w:val="28"/>
          <w:highlight w:val="none"/>
          <w:lang w:val="zh-CN"/>
        </w:rPr>
        <w:br w:type="page"/>
      </w:r>
    </w:p>
    <w:p>
      <w:pPr>
        <w:spacing w:line="360" w:lineRule="auto"/>
        <w:ind w:firstLine="435"/>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3</w:t>
      </w:r>
    </w:p>
    <w:p>
      <w:pPr>
        <w:pStyle w:val="15"/>
        <w:spacing w:line="360" w:lineRule="auto"/>
        <w:jc w:val="center"/>
        <w:rPr>
          <w:rFonts w:hAnsi="宋体" w:cs="Times New Roman"/>
          <w:b/>
          <w:bCs/>
          <w:color w:val="auto"/>
          <w:sz w:val="24"/>
          <w:szCs w:val="24"/>
          <w:highlight w:val="none"/>
          <w:lang w:val="zh-CN"/>
        </w:rPr>
      </w:pPr>
      <w:r>
        <w:rPr>
          <w:rFonts w:hint="eastAsia" w:hAnsi="宋体"/>
          <w:b/>
          <w:bCs/>
          <w:color w:val="auto"/>
          <w:sz w:val="36"/>
          <w:szCs w:val="36"/>
          <w:highlight w:val="none"/>
        </w:rPr>
        <w:t>类似项目业绩一览表</w:t>
      </w:r>
    </w:p>
    <w:tbl>
      <w:tblPr>
        <w:tblStyle w:val="24"/>
        <w:tblW w:w="96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序号</w:t>
            </w:r>
          </w:p>
        </w:tc>
        <w:tc>
          <w:tcPr>
            <w:tcW w:w="1561"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项目名称</w:t>
            </w:r>
          </w:p>
        </w:tc>
        <w:tc>
          <w:tcPr>
            <w:tcW w:w="1744"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业主单位</w:t>
            </w:r>
          </w:p>
        </w:tc>
        <w:tc>
          <w:tcPr>
            <w:tcW w:w="1260"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合同金额</w:t>
            </w:r>
          </w:p>
        </w:tc>
        <w:tc>
          <w:tcPr>
            <w:tcW w:w="1800"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合同签订时间</w:t>
            </w:r>
          </w:p>
        </w:tc>
        <w:tc>
          <w:tcPr>
            <w:tcW w:w="2520"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联系人</w:t>
            </w:r>
            <w:r>
              <w:rPr>
                <w:rFonts w:hAnsi="宋体"/>
                <w:color w:val="auto"/>
                <w:sz w:val="24"/>
                <w:szCs w:val="24"/>
                <w:highlight w:val="none"/>
              </w:rPr>
              <w:t>/</w:t>
            </w:r>
            <w:r>
              <w:rPr>
                <w:rFonts w:hint="eastAsia" w:hAnsi="宋体"/>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r>
              <w:rPr>
                <w:rFonts w:hint="eastAsia" w:hAnsi="宋体"/>
                <w:color w:val="auto"/>
                <w:sz w:val="24"/>
                <w:szCs w:val="24"/>
                <w:highlight w:val="none"/>
              </w:rPr>
              <w:t>……</w:t>
            </w: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bl>
    <w:p>
      <w:pPr>
        <w:pStyle w:val="15"/>
        <w:spacing w:line="360" w:lineRule="auto"/>
        <w:rPr>
          <w:rFonts w:hAnsi="宋体" w:cs="Times New Roman"/>
          <w:color w:val="auto"/>
          <w:sz w:val="24"/>
          <w:szCs w:val="24"/>
          <w:highlight w:val="none"/>
        </w:rPr>
      </w:pPr>
      <w:r>
        <w:rPr>
          <w:rFonts w:hint="eastAsia" w:hAnsi="宋体"/>
          <w:color w:val="auto"/>
          <w:sz w:val="24"/>
          <w:szCs w:val="24"/>
          <w:highlight w:val="none"/>
        </w:rPr>
        <w:t>注：</w:t>
      </w:r>
    </w:p>
    <w:p>
      <w:pPr>
        <w:pStyle w:val="15"/>
        <w:spacing w:line="360" w:lineRule="auto"/>
        <w:ind w:firstLine="468" w:firstLineChars="195"/>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附上每个业绩的合同复印件并加盖公章。</w:t>
      </w:r>
    </w:p>
    <w:p>
      <w:pPr>
        <w:autoSpaceDE w:val="0"/>
        <w:autoSpaceDN w:val="0"/>
        <w:adjustRightInd w:val="0"/>
        <w:spacing w:line="560" w:lineRule="exact"/>
        <w:ind w:firstLine="6000" w:firstLineChars="2500"/>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35"/>
        <w:rPr>
          <w:rFonts w:ascii="宋体"/>
          <w:b/>
          <w:bCs/>
          <w:color w:val="auto"/>
          <w:sz w:val="28"/>
          <w:szCs w:val="28"/>
          <w:highlight w:val="none"/>
        </w:rPr>
      </w:pPr>
    </w:p>
    <w:p>
      <w:pPr>
        <w:spacing w:line="360" w:lineRule="auto"/>
        <w:ind w:firstLine="435"/>
        <w:rPr>
          <w:rFonts w:ascii="宋体"/>
          <w:b/>
          <w:bCs/>
          <w:color w:val="auto"/>
          <w:sz w:val="28"/>
          <w:szCs w:val="28"/>
          <w:highlight w:val="none"/>
        </w:rPr>
      </w:pPr>
    </w:p>
    <w:p>
      <w:pPr>
        <w:spacing w:line="360" w:lineRule="auto"/>
        <w:ind w:firstLine="435"/>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4</w:t>
      </w:r>
    </w:p>
    <w:p>
      <w:pPr>
        <w:snapToGrid w:val="0"/>
        <w:spacing w:beforeLines="50" w:after="50"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项目实施人员一览表</w:t>
      </w:r>
    </w:p>
    <w:tbl>
      <w:tblPr>
        <w:tblStyle w:val="24"/>
        <w:tblW w:w="918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132"/>
        <w:gridCol w:w="851"/>
        <w:gridCol w:w="992"/>
        <w:gridCol w:w="1230"/>
        <w:gridCol w:w="2030"/>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7"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序号</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姓名</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性别</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年龄</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职务</w:t>
            </w:r>
          </w:p>
        </w:tc>
        <w:tc>
          <w:tcPr>
            <w:tcW w:w="20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职称</w:t>
            </w:r>
          </w:p>
        </w:tc>
        <w:tc>
          <w:tcPr>
            <w:tcW w:w="2268"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本项目拟担任的职务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7"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20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2268"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cs="Times New Roman"/>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cs="Times New Roman"/>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cs="Times New Roman"/>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pStyle w:val="16"/>
              <w:spacing w:line="360" w:lineRule="auto"/>
              <w:ind w:left="5250"/>
              <w:rPr>
                <w:rFonts w:asci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bl>
    <w:p>
      <w:pPr>
        <w:spacing w:line="360" w:lineRule="auto"/>
        <w:rPr>
          <w:rFonts w:ascii="宋体"/>
          <w:b/>
          <w:bCs/>
          <w:color w:val="auto"/>
          <w:highlight w:val="none"/>
        </w:rPr>
      </w:pPr>
      <w:r>
        <w:rPr>
          <w:rFonts w:hint="eastAsia" w:ascii="宋体" w:hAnsi="宋体" w:cs="宋体"/>
          <w:b/>
          <w:bCs/>
          <w:color w:val="auto"/>
          <w:highlight w:val="none"/>
        </w:rPr>
        <w:t>要求：</w:t>
      </w:r>
    </w:p>
    <w:p>
      <w:pPr>
        <w:spacing w:line="360" w:lineRule="auto"/>
        <w:ind w:firstLine="525" w:firstLineChars="250"/>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在填写时，如本表格不适合投标单位的实际情况，可根据本表格式自行划表填写。</w:t>
      </w:r>
    </w:p>
    <w:p>
      <w:pPr>
        <w:snapToGrid w:val="0"/>
        <w:spacing w:before="50" w:afterLines="50" w:line="360" w:lineRule="auto"/>
        <w:jc w:val="left"/>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sectPr>
          <w:footerReference r:id="rId3" w:type="default"/>
          <w:pgSz w:w="11906" w:h="16838"/>
          <w:pgMar w:top="763" w:right="1247" w:bottom="1383" w:left="1247" w:header="851" w:footer="992" w:gutter="0"/>
          <w:pgNumType w:fmt="decimal" w:start="1"/>
          <w:cols w:space="0" w:num="1"/>
          <w:docGrid w:type="lines" w:linePitch="312" w:charSpace="0"/>
        </w:sectPr>
      </w:pPr>
    </w:p>
    <w:p>
      <w:pPr>
        <w:spacing w:line="360" w:lineRule="auto"/>
        <w:ind w:right="-552" w:rightChars="-263" w:firstLine="435"/>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5</w:t>
      </w:r>
    </w:p>
    <w:p>
      <w:pPr>
        <w:pStyle w:val="2"/>
        <w:spacing w:before="5"/>
        <w:rPr>
          <w:color w:val="auto"/>
          <w:highlight w:val="none"/>
        </w:rPr>
      </w:pPr>
      <w:r>
        <w:rPr>
          <w:color w:val="auto"/>
          <w:highlight w:val="none"/>
        </w:rPr>
        <w:br w:type="column"/>
      </w:r>
    </w:p>
    <w:p>
      <w:pPr>
        <w:pStyle w:val="2"/>
        <w:spacing w:before="5"/>
        <w:rPr>
          <w:b/>
          <w:bCs/>
          <w:color w:val="auto"/>
          <w:sz w:val="36"/>
          <w:szCs w:val="36"/>
          <w:highlight w:val="none"/>
        </w:rPr>
      </w:pPr>
      <w:r>
        <w:rPr>
          <w:rFonts w:hint="eastAsia" w:cs="宋体"/>
          <w:b/>
          <w:bCs/>
          <w:color w:val="auto"/>
          <w:sz w:val="36"/>
          <w:szCs w:val="36"/>
          <w:highlight w:val="none"/>
        </w:rPr>
        <w:t>项目设备配置清单</w:t>
      </w:r>
    </w:p>
    <w:p>
      <w:pPr>
        <w:pStyle w:val="5"/>
        <w:rPr>
          <w:rFonts w:cs="Times New Roman"/>
          <w:color w:val="auto"/>
          <w:highlight w:val="none"/>
        </w:rPr>
      </w:pPr>
      <w:r>
        <w:rPr>
          <w:rFonts w:hint="eastAsia" w:cs="宋体"/>
          <w:color w:val="auto"/>
          <w:highlight w:val="none"/>
        </w:rPr>
        <w:t>（按此格式自制）</w:t>
      </w:r>
    </w:p>
    <w:p>
      <w:pPr>
        <w:rPr>
          <w:color w:val="auto"/>
          <w:highlight w:val="none"/>
        </w:rPr>
        <w:sectPr>
          <w:pgSz w:w="11910" w:h="16840"/>
          <w:pgMar w:top="1320" w:right="860" w:bottom="1180" w:left="1060" w:header="0" w:footer="993" w:gutter="0"/>
          <w:pgNumType w:fmt="decimal"/>
          <w:cols w:equalWidth="0" w:num="2">
            <w:col w:w="1126" w:space="2080"/>
            <w:col w:w="6784"/>
          </w:cols>
        </w:sectPr>
      </w:pPr>
    </w:p>
    <w:p>
      <w:pPr>
        <w:pStyle w:val="2"/>
        <w:spacing w:before="10"/>
        <w:rPr>
          <w:rFonts w:ascii="仿宋"/>
          <w:color w:val="auto"/>
          <w:sz w:val="9"/>
          <w:szCs w:val="9"/>
          <w:highlight w:val="none"/>
        </w:rPr>
      </w:pPr>
    </w:p>
    <w:tbl>
      <w:tblPr>
        <w:tblStyle w:val="24"/>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2189"/>
        <w:gridCol w:w="1185"/>
        <w:gridCol w:w="750"/>
        <w:gridCol w:w="1665"/>
        <w:gridCol w:w="171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89" w:type="dxa"/>
          </w:tcPr>
          <w:p>
            <w:pPr>
              <w:pStyle w:val="89"/>
              <w:spacing w:before="3"/>
              <w:rPr>
                <w:rFonts w:ascii="仿宋" w:cs="Times New Roman"/>
                <w:color w:val="auto"/>
                <w:sz w:val="18"/>
                <w:szCs w:val="18"/>
                <w:highlight w:val="none"/>
              </w:rPr>
            </w:pPr>
          </w:p>
          <w:p>
            <w:pPr>
              <w:pStyle w:val="89"/>
              <w:spacing w:before="1"/>
              <w:ind w:left="152"/>
              <w:rPr>
                <w:rFonts w:cs="Times New Roman"/>
                <w:color w:val="auto"/>
                <w:sz w:val="24"/>
                <w:szCs w:val="24"/>
                <w:highlight w:val="none"/>
              </w:rPr>
            </w:pPr>
            <w:r>
              <w:rPr>
                <w:rFonts w:hint="eastAsia"/>
                <w:color w:val="auto"/>
                <w:sz w:val="24"/>
                <w:szCs w:val="24"/>
                <w:highlight w:val="none"/>
              </w:rPr>
              <w:t>序号</w:t>
            </w:r>
          </w:p>
        </w:tc>
        <w:tc>
          <w:tcPr>
            <w:tcW w:w="2189" w:type="dxa"/>
          </w:tcPr>
          <w:p>
            <w:pPr>
              <w:pStyle w:val="89"/>
              <w:spacing w:before="3"/>
              <w:rPr>
                <w:rFonts w:ascii="仿宋" w:cs="Times New Roman"/>
                <w:color w:val="auto"/>
                <w:sz w:val="18"/>
                <w:szCs w:val="18"/>
                <w:highlight w:val="none"/>
              </w:rPr>
            </w:pPr>
          </w:p>
          <w:p>
            <w:pPr>
              <w:pStyle w:val="89"/>
              <w:spacing w:before="1"/>
              <w:ind w:left="254"/>
              <w:rPr>
                <w:rFonts w:cs="Times New Roman"/>
                <w:color w:val="auto"/>
                <w:sz w:val="24"/>
                <w:szCs w:val="24"/>
                <w:highlight w:val="none"/>
              </w:rPr>
            </w:pPr>
            <w:r>
              <w:rPr>
                <w:rFonts w:hint="eastAsia"/>
                <w:color w:val="auto"/>
                <w:sz w:val="24"/>
                <w:szCs w:val="24"/>
                <w:highlight w:val="none"/>
              </w:rPr>
              <w:t>仪器、设备名称</w:t>
            </w:r>
          </w:p>
        </w:tc>
        <w:tc>
          <w:tcPr>
            <w:tcW w:w="1185" w:type="dxa"/>
          </w:tcPr>
          <w:p>
            <w:pPr>
              <w:pStyle w:val="89"/>
              <w:spacing w:before="2"/>
              <w:ind w:left="352"/>
              <w:rPr>
                <w:rFonts w:cs="Times New Roman"/>
                <w:color w:val="auto"/>
                <w:sz w:val="24"/>
                <w:szCs w:val="24"/>
                <w:highlight w:val="none"/>
              </w:rPr>
            </w:pPr>
            <w:r>
              <w:rPr>
                <w:rFonts w:hint="eastAsia"/>
                <w:color w:val="auto"/>
                <w:sz w:val="24"/>
                <w:szCs w:val="24"/>
                <w:highlight w:val="none"/>
              </w:rPr>
              <w:t>规格</w:t>
            </w:r>
          </w:p>
          <w:p>
            <w:pPr>
              <w:pStyle w:val="89"/>
              <w:spacing w:before="158"/>
              <w:ind w:left="352"/>
              <w:rPr>
                <w:rFonts w:cs="Times New Roman"/>
                <w:color w:val="auto"/>
                <w:sz w:val="24"/>
                <w:szCs w:val="24"/>
                <w:highlight w:val="none"/>
              </w:rPr>
            </w:pPr>
            <w:r>
              <w:rPr>
                <w:rFonts w:hint="eastAsia"/>
                <w:color w:val="auto"/>
                <w:sz w:val="24"/>
                <w:szCs w:val="24"/>
                <w:highlight w:val="none"/>
              </w:rPr>
              <w:t>型号</w:t>
            </w:r>
          </w:p>
        </w:tc>
        <w:tc>
          <w:tcPr>
            <w:tcW w:w="750" w:type="dxa"/>
          </w:tcPr>
          <w:p>
            <w:pPr>
              <w:pStyle w:val="89"/>
              <w:spacing w:before="3"/>
              <w:rPr>
                <w:rFonts w:ascii="仿宋" w:cs="Times New Roman"/>
                <w:color w:val="auto"/>
                <w:sz w:val="18"/>
                <w:szCs w:val="18"/>
                <w:highlight w:val="none"/>
              </w:rPr>
            </w:pPr>
          </w:p>
          <w:p>
            <w:pPr>
              <w:pStyle w:val="89"/>
              <w:spacing w:before="1"/>
              <w:ind w:left="134"/>
              <w:rPr>
                <w:rFonts w:cs="Times New Roman"/>
                <w:color w:val="auto"/>
                <w:sz w:val="24"/>
                <w:szCs w:val="24"/>
                <w:highlight w:val="none"/>
              </w:rPr>
            </w:pPr>
            <w:r>
              <w:rPr>
                <w:rFonts w:hint="eastAsia"/>
                <w:color w:val="auto"/>
                <w:sz w:val="24"/>
                <w:szCs w:val="24"/>
                <w:highlight w:val="none"/>
              </w:rPr>
              <w:t>数量</w:t>
            </w:r>
          </w:p>
        </w:tc>
        <w:tc>
          <w:tcPr>
            <w:tcW w:w="1665" w:type="dxa"/>
          </w:tcPr>
          <w:p>
            <w:pPr>
              <w:pStyle w:val="89"/>
              <w:spacing w:before="3"/>
              <w:rPr>
                <w:rFonts w:ascii="仿宋" w:cs="Times New Roman"/>
                <w:color w:val="auto"/>
                <w:sz w:val="18"/>
                <w:szCs w:val="18"/>
                <w:highlight w:val="none"/>
              </w:rPr>
            </w:pPr>
          </w:p>
          <w:p>
            <w:pPr>
              <w:pStyle w:val="89"/>
              <w:spacing w:before="1"/>
              <w:ind w:left="571" w:right="563"/>
              <w:jc w:val="center"/>
              <w:rPr>
                <w:rFonts w:cs="Times New Roman"/>
                <w:color w:val="auto"/>
                <w:sz w:val="24"/>
                <w:szCs w:val="24"/>
                <w:highlight w:val="none"/>
              </w:rPr>
            </w:pPr>
            <w:r>
              <w:rPr>
                <w:rFonts w:hint="eastAsia"/>
                <w:color w:val="auto"/>
                <w:sz w:val="24"/>
                <w:szCs w:val="24"/>
                <w:highlight w:val="none"/>
              </w:rPr>
              <w:t>产地</w:t>
            </w:r>
          </w:p>
        </w:tc>
        <w:tc>
          <w:tcPr>
            <w:tcW w:w="1710" w:type="dxa"/>
          </w:tcPr>
          <w:p>
            <w:pPr>
              <w:pStyle w:val="89"/>
              <w:spacing w:before="2"/>
              <w:ind w:left="114" w:right="106"/>
              <w:jc w:val="center"/>
              <w:rPr>
                <w:rFonts w:cs="Times New Roman"/>
                <w:color w:val="auto"/>
                <w:sz w:val="24"/>
                <w:szCs w:val="24"/>
                <w:highlight w:val="none"/>
              </w:rPr>
            </w:pPr>
            <w:r>
              <w:rPr>
                <w:rFonts w:hint="eastAsia"/>
                <w:color w:val="auto"/>
                <w:sz w:val="24"/>
                <w:szCs w:val="24"/>
                <w:highlight w:val="none"/>
              </w:rPr>
              <w:t>用途、功能简</w:t>
            </w:r>
          </w:p>
          <w:p>
            <w:pPr>
              <w:pStyle w:val="89"/>
              <w:spacing w:before="158"/>
              <w:ind w:left="8"/>
              <w:jc w:val="center"/>
              <w:rPr>
                <w:rFonts w:cs="Times New Roman"/>
                <w:color w:val="auto"/>
                <w:sz w:val="24"/>
                <w:szCs w:val="24"/>
                <w:highlight w:val="none"/>
              </w:rPr>
            </w:pPr>
            <w:r>
              <w:rPr>
                <w:rFonts w:hint="eastAsia"/>
                <w:color w:val="auto"/>
                <w:sz w:val="24"/>
                <w:szCs w:val="24"/>
                <w:highlight w:val="none"/>
              </w:rPr>
              <w:t>述</w:t>
            </w:r>
          </w:p>
        </w:tc>
        <w:tc>
          <w:tcPr>
            <w:tcW w:w="1270" w:type="dxa"/>
          </w:tcPr>
          <w:p>
            <w:pPr>
              <w:pStyle w:val="89"/>
              <w:spacing w:before="3"/>
              <w:rPr>
                <w:rFonts w:ascii="仿宋" w:cs="Times New Roman"/>
                <w:color w:val="auto"/>
                <w:sz w:val="18"/>
                <w:szCs w:val="18"/>
                <w:highlight w:val="none"/>
              </w:rPr>
            </w:pPr>
          </w:p>
          <w:p>
            <w:pPr>
              <w:pStyle w:val="89"/>
              <w:spacing w:before="1"/>
              <w:ind w:left="394"/>
              <w:rPr>
                <w:rFonts w:cs="Times New Roman"/>
                <w:color w:val="auto"/>
                <w:sz w:val="24"/>
                <w:szCs w:val="24"/>
                <w:highlight w:val="none"/>
              </w:rPr>
            </w:pPr>
            <w:r>
              <w:rPr>
                <w:rFonts w:hint="eastAsia"/>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9"/>
              <w:rPr>
                <w:rFonts w:ascii="Times New Roman" w:cs="Times New Roman"/>
                <w:color w:val="auto"/>
                <w:sz w:val="26"/>
                <w:szCs w:val="26"/>
                <w:highlight w:val="none"/>
              </w:rPr>
            </w:pPr>
          </w:p>
        </w:tc>
        <w:tc>
          <w:tcPr>
            <w:tcW w:w="2189" w:type="dxa"/>
          </w:tcPr>
          <w:p>
            <w:pPr>
              <w:pStyle w:val="89"/>
              <w:rPr>
                <w:rFonts w:ascii="Times New Roman" w:cs="Times New Roman"/>
                <w:color w:val="auto"/>
                <w:sz w:val="26"/>
                <w:szCs w:val="26"/>
                <w:highlight w:val="none"/>
              </w:rPr>
            </w:pPr>
          </w:p>
        </w:tc>
        <w:tc>
          <w:tcPr>
            <w:tcW w:w="1185" w:type="dxa"/>
          </w:tcPr>
          <w:p>
            <w:pPr>
              <w:pStyle w:val="89"/>
              <w:rPr>
                <w:rFonts w:ascii="Times New Roman" w:cs="Times New Roman"/>
                <w:color w:val="auto"/>
                <w:sz w:val="26"/>
                <w:szCs w:val="26"/>
                <w:highlight w:val="none"/>
              </w:rPr>
            </w:pPr>
          </w:p>
        </w:tc>
        <w:tc>
          <w:tcPr>
            <w:tcW w:w="750" w:type="dxa"/>
          </w:tcPr>
          <w:p>
            <w:pPr>
              <w:pStyle w:val="89"/>
              <w:rPr>
                <w:rFonts w:ascii="Times New Roman" w:cs="Times New Roman"/>
                <w:color w:val="auto"/>
                <w:sz w:val="26"/>
                <w:szCs w:val="26"/>
                <w:highlight w:val="none"/>
              </w:rPr>
            </w:pPr>
          </w:p>
        </w:tc>
        <w:tc>
          <w:tcPr>
            <w:tcW w:w="1665" w:type="dxa"/>
          </w:tcPr>
          <w:p>
            <w:pPr>
              <w:pStyle w:val="89"/>
              <w:rPr>
                <w:rFonts w:ascii="Times New Roman" w:cs="Times New Roman"/>
                <w:color w:val="auto"/>
                <w:sz w:val="26"/>
                <w:szCs w:val="26"/>
                <w:highlight w:val="none"/>
              </w:rPr>
            </w:pPr>
          </w:p>
        </w:tc>
        <w:tc>
          <w:tcPr>
            <w:tcW w:w="1710" w:type="dxa"/>
          </w:tcPr>
          <w:p>
            <w:pPr>
              <w:pStyle w:val="89"/>
              <w:rPr>
                <w:rFonts w:ascii="Times New Roman" w:cs="Times New Roman"/>
                <w:color w:val="auto"/>
                <w:sz w:val="26"/>
                <w:szCs w:val="26"/>
                <w:highlight w:val="none"/>
              </w:rPr>
            </w:pPr>
          </w:p>
        </w:tc>
        <w:tc>
          <w:tcPr>
            <w:tcW w:w="1270" w:type="dxa"/>
          </w:tcPr>
          <w:p>
            <w:pPr>
              <w:pStyle w:val="89"/>
              <w:rPr>
                <w:rFonts w:ascii="Times New Roman" w:cs="Times New Roman"/>
                <w:color w:val="auto"/>
                <w:sz w:val="26"/>
                <w:szCs w:val="26"/>
                <w:highlight w:val="none"/>
              </w:rPr>
            </w:pPr>
          </w:p>
        </w:tc>
      </w:tr>
    </w:tbl>
    <w:p>
      <w:pPr>
        <w:pStyle w:val="2"/>
        <w:rPr>
          <w:rFonts w:ascii="仿宋"/>
          <w:color w:val="auto"/>
          <w:sz w:val="20"/>
          <w:szCs w:val="20"/>
          <w:highlight w:val="none"/>
        </w:rPr>
      </w:pPr>
    </w:p>
    <w:p>
      <w:pPr>
        <w:pStyle w:val="2"/>
        <w:spacing w:before="6"/>
        <w:rPr>
          <w:rFonts w:ascii="仿宋"/>
          <w:color w:val="auto"/>
          <w:sz w:val="27"/>
          <w:szCs w:val="27"/>
          <w:highlight w:val="none"/>
        </w:rPr>
      </w:pPr>
    </w:p>
    <w:p>
      <w:pPr>
        <w:pStyle w:val="2"/>
        <w:spacing w:before="67"/>
        <w:ind w:left="4083"/>
        <w:rPr>
          <w:color w:val="auto"/>
          <w:highlight w:val="none"/>
        </w:rPr>
      </w:pPr>
      <w:r>
        <w:rPr>
          <w:rFonts w:hint="eastAsia" w:cs="宋体"/>
          <w:color w:val="auto"/>
          <w:highlight w:val="none"/>
        </w:rPr>
        <w:t>投标人（盖单位章）：</w:t>
      </w:r>
    </w:p>
    <w:p>
      <w:pPr>
        <w:pStyle w:val="2"/>
        <w:spacing w:before="8"/>
        <w:rPr>
          <w:color w:val="auto"/>
          <w:sz w:val="19"/>
          <w:szCs w:val="19"/>
          <w:highlight w:val="none"/>
        </w:rPr>
      </w:pPr>
    </w:p>
    <w:p>
      <w:pPr>
        <w:pStyle w:val="2"/>
        <w:ind w:left="4083"/>
        <w:rPr>
          <w:color w:val="auto"/>
          <w:highlight w:val="none"/>
        </w:rPr>
      </w:pPr>
      <w:r>
        <w:rPr>
          <w:rFonts w:hint="eastAsia" w:cs="宋体"/>
          <w:color w:val="auto"/>
          <w:highlight w:val="none"/>
        </w:rPr>
        <w:t>法定代表人或全权代表（盖章或签字）：</w:t>
      </w:r>
    </w:p>
    <w:p>
      <w:pPr>
        <w:pStyle w:val="2"/>
        <w:spacing w:before="10"/>
        <w:rPr>
          <w:color w:val="auto"/>
          <w:sz w:val="19"/>
          <w:szCs w:val="19"/>
          <w:highlight w:val="none"/>
        </w:rPr>
      </w:pPr>
    </w:p>
    <w:p>
      <w:pPr>
        <w:pStyle w:val="2"/>
        <w:spacing w:before="1"/>
        <w:ind w:left="6603"/>
        <w:rPr>
          <w:color w:val="auto"/>
          <w:highlight w:val="none"/>
        </w:rPr>
        <w:sectPr>
          <w:type w:val="continuous"/>
          <w:pgSz w:w="11910" w:h="16840"/>
          <w:pgMar w:top="1220" w:right="860" w:bottom="1100" w:left="1060" w:header="720" w:footer="720" w:gutter="0"/>
          <w:pgNumType w:fmt="decimal"/>
          <w:cols w:space="720" w:num="1"/>
        </w:sectPr>
      </w:pPr>
      <w:r>
        <w:rPr>
          <w:rFonts w:hint="eastAsia" w:cs="宋体"/>
          <w:color w:val="auto"/>
          <w:highlight w:val="none"/>
        </w:rPr>
        <w:t>日</w:t>
      </w:r>
      <w:r>
        <w:rPr>
          <w:color w:val="auto"/>
          <w:highlight w:val="none"/>
        </w:rPr>
        <w:t xml:space="preserve"> </w:t>
      </w:r>
      <w:r>
        <w:rPr>
          <w:rFonts w:hint="eastAsia" w:cs="宋体"/>
          <w:color w:val="auto"/>
          <w:highlight w:val="none"/>
        </w:rPr>
        <w:t>期：</w:t>
      </w:r>
    </w:p>
    <w:p>
      <w:pPr>
        <w:pStyle w:val="60"/>
        <w:tabs>
          <w:tab w:val="left" w:pos="1050"/>
        </w:tabs>
        <w:spacing w:line="360" w:lineRule="auto"/>
        <w:ind w:firstLine="562" w:firstLineChars="200"/>
        <w:rPr>
          <w:rFonts w:ascii="??_GB2312" w:hAns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pacing w:line="360" w:lineRule="auto"/>
        <w:ind w:left="549" w:hanging="549" w:hangingChars="171"/>
        <w:jc w:val="center"/>
        <w:rPr>
          <w:rFonts w:ascii="宋体"/>
          <w:b/>
          <w:bCs/>
          <w:color w:val="auto"/>
          <w:sz w:val="32"/>
          <w:szCs w:val="32"/>
          <w:highlight w:val="none"/>
        </w:rPr>
      </w:pPr>
      <w:r>
        <w:rPr>
          <w:rFonts w:hint="eastAsia" w:ascii="宋体" w:hAnsi="宋体" w:cs="宋体"/>
          <w:b/>
          <w:bCs/>
          <w:color w:val="auto"/>
          <w:sz w:val="32"/>
          <w:szCs w:val="32"/>
          <w:highlight w:val="none"/>
        </w:rPr>
        <w:t>商务需求响应表</w:t>
      </w:r>
    </w:p>
    <w:p>
      <w:pPr>
        <w:spacing w:line="360" w:lineRule="auto"/>
        <w:ind w:left="481" w:leftChars="229" w:firstLine="813" w:firstLineChars="450"/>
        <w:rPr>
          <w:rFonts w:ascii="宋体"/>
          <w:b/>
          <w:bCs/>
          <w:color w:val="auto"/>
          <w:sz w:val="18"/>
          <w:szCs w:val="18"/>
          <w:highlight w:val="none"/>
        </w:rPr>
      </w:pPr>
    </w:p>
    <w:tbl>
      <w:tblPr>
        <w:tblStyle w:val="24"/>
        <w:tblW w:w="90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92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类别</w:t>
            </w:r>
          </w:p>
        </w:tc>
        <w:tc>
          <w:tcPr>
            <w:tcW w:w="2546"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招标文件要求</w:t>
            </w:r>
          </w:p>
        </w:tc>
        <w:tc>
          <w:tcPr>
            <w:tcW w:w="256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供应商承诺</w:t>
            </w:r>
          </w:p>
        </w:tc>
        <w:tc>
          <w:tcPr>
            <w:tcW w:w="126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1</w:t>
            </w:r>
          </w:p>
        </w:tc>
        <w:tc>
          <w:tcPr>
            <w:tcW w:w="192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工期</w:t>
            </w:r>
          </w:p>
        </w:tc>
        <w:tc>
          <w:tcPr>
            <w:tcW w:w="2546" w:type="dxa"/>
            <w:vAlign w:val="center"/>
          </w:tcPr>
          <w:p>
            <w:pPr>
              <w:jc w:val="cente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2</w:t>
            </w:r>
          </w:p>
        </w:tc>
        <w:tc>
          <w:tcPr>
            <w:tcW w:w="192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付款方式</w:t>
            </w:r>
          </w:p>
        </w:tc>
        <w:tc>
          <w:tcPr>
            <w:tcW w:w="2546" w:type="dxa"/>
            <w:vAlign w:val="center"/>
          </w:tcPr>
          <w:p>
            <w:pP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3</w:t>
            </w:r>
          </w:p>
        </w:tc>
        <w:tc>
          <w:tcPr>
            <w:tcW w:w="1927" w:type="dxa"/>
            <w:vAlign w:val="center"/>
          </w:tcPr>
          <w:p>
            <w:pPr>
              <w:jc w:val="center"/>
              <w:rPr>
                <w:rFonts w:ascii="宋体"/>
                <w:color w:val="auto"/>
                <w:sz w:val="24"/>
                <w:szCs w:val="24"/>
                <w:highlight w:val="none"/>
              </w:rPr>
            </w:pPr>
            <w:r>
              <w:rPr>
                <w:rFonts w:ascii="宋体" w:cs="宋体"/>
                <w:color w:val="auto"/>
                <w:sz w:val="24"/>
                <w:szCs w:val="24"/>
                <w:highlight w:val="none"/>
              </w:rPr>
              <w:t>......</w:t>
            </w:r>
          </w:p>
        </w:tc>
        <w:tc>
          <w:tcPr>
            <w:tcW w:w="2546" w:type="dxa"/>
            <w:vAlign w:val="center"/>
          </w:tcPr>
          <w:p>
            <w:pP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4</w:t>
            </w:r>
          </w:p>
        </w:tc>
        <w:tc>
          <w:tcPr>
            <w:tcW w:w="1927" w:type="dxa"/>
            <w:vAlign w:val="center"/>
          </w:tcPr>
          <w:p>
            <w:pPr>
              <w:jc w:val="center"/>
              <w:rPr>
                <w:rFonts w:ascii="宋体"/>
                <w:color w:val="auto"/>
                <w:sz w:val="24"/>
                <w:szCs w:val="24"/>
                <w:highlight w:val="none"/>
              </w:rPr>
            </w:pPr>
          </w:p>
        </w:tc>
        <w:tc>
          <w:tcPr>
            <w:tcW w:w="2546" w:type="dxa"/>
            <w:vAlign w:val="center"/>
          </w:tcPr>
          <w:p>
            <w:pPr>
              <w:jc w:val="cente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5</w:t>
            </w:r>
          </w:p>
        </w:tc>
        <w:tc>
          <w:tcPr>
            <w:tcW w:w="1927" w:type="dxa"/>
            <w:vAlign w:val="center"/>
          </w:tcPr>
          <w:p>
            <w:pPr>
              <w:jc w:val="center"/>
              <w:rPr>
                <w:rFonts w:ascii="宋体"/>
                <w:color w:val="auto"/>
                <w:sz w:val="24"/>
                <w:szCs w:val="24"/>
                <w:highlight w:val="none"/>
              </w:rPr>
            </w:pPr>
          </w:p>
        </w:tc>
        <w:tc>
          <w:tcPr>
            <w:tcW w:w="2546" w:type="dxa"/>
            <w:vAlign w:val="center"/>
          </w:tcPr>
          <w:p>
            <w:pPr>
              <w:jc w:val="cente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u w:val="singl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ind w:firstLine="562" w:firstLineChars="200"/>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pacing w:line="360" w:lineRule="auto"/>
        <w:ind w:left="480"/>
        <w:jc w:val="center"/>
        <w:rPr>
          <w:rFonts w:ascii="宋体"/>
          <w:color w:val="auto"/>
          <w:kern w:val="0"/>
          <w:sz w:val="32"/>
          <w:szCs w:val="32"/>
          <w:highlight w:val="none"/>
        </w:rPr>
      </w:pPr>
      <w:r>
        <w:rPr>
          <w:rFonts w:hint="eastAsia" w:ascii="宋体" w:hAnsi="宋体" w:cs="宋体"/>
          <w:color w:val="auto"/>
          <w:kern w:val="0"/>
          <w:sz w:val="32"/>
          <w:szCs w:val="32"/>
          <w:highlight w:val="none"/>
        </w:rPr>
        <w:t>技术需求响应表</w:t>
      </w:r>
    </w:p>
    <w:p>
      <w:pPr>
        <w:spacing w:line="360" w:lineRule="auto"/>
        <w:ind w:left="480"/>
        <w:jc w:val="center"/>
        <w:rPr>
          <w:rFonts w:ascii="宋体"/>
          <w:color w:val="auto"/>
          <w:kern w:val="0"/>
          <w:sz w:val="32"/>
          <w:szCs w:val="32"/>
          <w:highlight w:val="none"/>
        </w:rPr>
      </w:pPr>
    </w:p>
    <w:tbl>
      <w:tblPr>
        <w:tblStyle w:val="24"/>
        <w:tblW w:w="82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50" w:type="dxa"/>
            <w:vAlign w:val="center"/>
          </w:tcPr>
          <w:p>
            <w:pPr>
              <w:spacing w:line="360" w:lineRule="auto"/>
              <w:ind w:left="13" w:leftChars="6"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879" w:type="dxa"/>
            <w:vAlign w:val="center"/>
          </w:tcPr>
          <w:p>
            <w:pPr>
              <w:spacing w:line="360" w:lineRule="auto"/>
              <w:ind w:left="152"/>
              <w:rPr>
                <w:rFonts w:ascii="宋体"/>
                <w:b/>
                <w:bCs/>
                <w:color w:val="auto"/>
                <w:sz w:val="24"/>
                <w:szCs w:val="24"/>
                <w:highlight w:val="none"/>
              </w:rPr>
            </w:pPr>
            <w:r>
              <w:rPr>
                <w:rFonts w:hint="eastAsia" w:ascii="宋体" w:hAnsi="宋体" w:cs="宋体"/>
                <w:b/>
                <w:bCs/>
                <w:color w:val="auto"/>
                <w:sz w:val="24"/>
                <w:szCs w:val="24"/>
                <w:highlight w:val="none"/>
              </w:rPr>
              <w:t>招标参数</w:t>
            </w:r>
          </w:p>
        </w:tc>
        <w:tc>
          <w:tcPr>
            <w:tcW w:w="1687" w:type="dxa"/>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投标参数</w:t>
            </w:r>
          </w:p>
        </w:tc>
        <w:tc>
          <w:tcPr>
            <w:tcW w:w="1644" w:type="dxa"/>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bl>
    <w:p>
      <w:pPr>
        <w:pStyle w:val="58"/>
        <w:tabs>
          <w:tab w:val="left" w:pos="360"/>
        </w:tabs>
        <w:spacing w:line="360" w:lineRule="auto"/>
        <w:ind w:right="84" w:rightChars="40"/>
        <w:rPr>
          <w:rFonts w:ascii="宋体"/>
          <w:b/>
          <w:bCs/>
          <w:color w:val="auto"/>
          <w:highlight w:val="none"/>
        </w:rPr>
      </w:pPr>
      <w:r>
        <w:rPr>
          <w:rFonts w:hint="eastAsia" w:ascii="宋体" w:cs="宋体"/>
          <w:b/>
          <w:bCs/>
          <w:color w:val="auto"/>
          <w:highlight w:val="none"/>
        </w:rPr>
        <w:t>要求：</w:t>
      </w:r>
    </w:p>
    <w:p>
      <w:pPr>
        <w:pStyle w:val="58"/>
        <w:spacing w:line="360" w:lineRule="auto"/>
        <w:ind w:right="84" w:rightChars="40" w:firstLine="420" w:firstLineChars="200"/>
        <w:rPr>
          <w:rFonts w:ascii="宋体"/>
          <w:color w:val="auto"/>
          <w:highlight w:val="none"/>
        </w:rPr>
      </w:pPr>
      <w:r>
        <w:rPr>
          <w:rFonts w:ascii="宋体" w:cs="宋体"/>
          <w:color w:val="auto"/>
          <w:highlight w:val="none"/>
        </w:rPr>
        <w:t>1.</w:t>
      </w:r>
      <w:r>
        <w:rPr>
          <w:rFonts w:hint="eastAsia" w:ascii="宋体" w:cs="宋体"/>
          <w:color w:val="auto"/>
          <w:highlight w:val="none"/>
        </w:rPr>
        <w:t>本表参照本招标文件第四章“公开招标需求”内第一节“技术要求”填制，投标人应根据投标设备的各项指标，对照招标文件要求在“偏离情况”栏注明“正偏离”、“负偏离”或“无偏离”。</w:t>
      </w:r>
    </w:p>
    <w:p>
      <w:pPr>
        <w:pStyle w:val="58"/>
        <w:spacing w:line="360" w:lineRule="auto"/>
        <w:ind w:right="84" w:rightChars="40" w:firstLine="420" w:firstLineChars="200"/>
        <w:rPr>
          <w:rFonts w:ascii="宋体"/>
          <w:color w:val="auto"/>
          <w:highlight w:val="none"/>
        </w:rPr>
      </w:pPr>
    </w:p>
    <w:p>
      <w:pPr>
        <w:spacing w:line="360" w:lineRule="auto"/>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p>
    <w:p>
      <w:pPr>
        <w:pStyle w:val="2"/>
        <w:rPr>
          <w:color w:val="auto"/>
          <w:highlight w:val="none"/>
        </w:rPr>
      </w:pPr>
    </w:p>
    <w:p>
      <w:pPr>
        <w:spacing w:line="360" w:lineRule="auto"/>
        <w:ind w:firstLine="435"/>
        <w:rPr>
          <w:rFonts w:ascii="宋体"/>
          <w:b/>
          <w:bCs/>
          <w:color w:val="auto"/>
          <w:sz w:val="28"/>
          <w:szCs w:val="28"/>
          <w:highlight w:val="none"/>
        </w:rPr>
        <w:sectPr>
          <w:pgSz w:w="11906" w:h="16838"/>
          <w:pgMar w:top="1383" w:right="1247" w:bottom="1383" w:left="1247" w:header="851" w:footer="992" w:gutter="0"/>
          <w:pgNumType w:fmt="decimal"/>
          <w:cols w:space="0" w:num="1"/>
          <w:docGrid w:type="lines" w:linePitch="312" w:charSpace="0"/>
        </w:sectPr>
      </w:pPr>
    </w:p>
    <w:p>
      <w:pPr>
        <w:snapToGrid w:val="0"/>
        <w:spacing w:before="50" w:after="50" w:line="360" w:lineRule="auto"/>
        <w:ind w:firstLine="562" w:firstLineChars="200"/>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8 </w:t>
      </w:r>
    </w:p>
    <w:p>
      <w:pPr>
        <w:widowControl/>
        <w:jc w:val="center"/>
        <w:rPr>
          <w:color w:val="auto"/>
          <w:highlight w:val="none"/>
        </w:rPr>
      </w:pPr>
      <w:r>
        <w:rPr>
          <w:rFonts w:hint="eastAsia" w:ascii="宋体" w:hAnsi="宋体" w:cs="宋体"/>
          <w:b/>
          <w:bCs/>
          <w:color w:val="auto"/>
          <w:kern w:val="0"/>
          <w:sz w:val="36"/>
          <w:szCs w:val="36"/>
          <w:highlight w:val="none"/>
        </w:rPr>
        <w:t>无重大违法记录声明书</w:t>
      </w:r>
    </w:p>
    <w:p>
      <w:pPr>
        <w:widowControl/>
        <w:spacing w:after="100" w:line="360" w:lineRule="auto"/>
        <w:jc w:val="left"/>
        <w:rPr>
          <w:color w:val="auto"/>
          <w:sz w:val="24"/>
          <w:szCs w:val="24"/>
          <w:highlight w:val="none"/>
        </w:rPr>
      </w:pPr>
      <w:r>
        <w:rPr>
          <w:rFonts w:hint="eastAsia" w:ascii="宋体" w:hAnsi="宋体" w:cs="宋体"/>
          <w:color w:val="auto"/>
          <w:kern w:val="0"/>
          <w:sz w:val="24"/>
          <w:szCs w:val="24"/>
          <w:highlight w:val="none"/>
          <w:lang w:eastAsia="zh-CN"/>
        </w:rPr>
        <w:t>三门县环境有限公司</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我方郑重声明：我方参加本项目投标活动前三年内无重大违法记录（重大违法记录是</w:t>
      </w:r>
      <w:r>
        <w:rPr>
          <w:rFonts w:ascii="宋体" w:hAnsi="宋体" w:cs="宋体"/>
          <w:color w:val="auto"/>
          <w:kern w:val="0"/>
          <w:sz w:val="24"/>
          <w:szCs w:val="24"/>
          <w:highlight w:val="none"/>
        </w:rPr>
        <w:t xml:space="preserve"> </w:t>
      </w:r>
    </w:p>
    <w:p>
      <w:pPr>
        <w:widowControl/>
        <w:spacing w:line="360" w:lineRule="auto"/>
        <w:jc w:val="left"/>
        <w:rPr>
          <w:color w:val="auto"/>
          <w:sz w:val="24"/>
          <w:szCs w:val="24"/>
          <w:highlight w:val="none"/>
        </w:rPr>
      </w:pPr>
      <w:r>
        <w:rPr>
          <w:rFonts w:hint="eastAsia" w:ascii="宋体" w:hAnsi="宋体" w:cs="宋体"/>
          <w:color w:val="auto"/>
          <w:kern w:val="0"/>
          <w:sz w:val="24"/>
          <w:szCs w:val="24"/>
          <w:highlight w:val="none"/>
        </w:rPr>
        <w:t>指供应商因违法经营受到刑事处罚或者责令停产停业、吊销许可证或者执照、较大数额罚</w:t>
      </w:r>
      <w:r>
        <w:rPr>
          <w:rFonts w:ascii="宋体" w:hAnsi="宋体" w:cs="宋体"/>
          <w:color w:val="auto"/>
          <w:kern w:val="0"/>
          <w:sz w:val="24"/>
          <w:szCs w:val="24"/>
          <w:highlight w:val="none"/>
        </w:rPr>
        <w:t xml:space="preserve"> </w:t>
      </w:r>
    </w:p>
    <w:p>
      <w:pPr>
        <w:widowControl/>
        <w:spacing w:line="360" w:lineRule="auto"/>
        <w:jc w:val="left"/>
        <w:rPr>
          <w:color w:val="auto"/>
          <w:sz w:val="24"/>
          <w:szCs w:val="24"/>
          <w:highlight w:val="none"/>
        </w:rPr>
      </w:pPr>
      <w:r>
        <w:rPr>
          <w:rFonts w:hint="eastAsia" w:ascii="宋体" w:hAnsi="宋体" w:cs="宋体"/>
          <w:color w:val="auto"/>
          <w:kern w:val="0"/>
          <w:sz w:val="24"/>
          <w:szCs w:val="24"/>
          <w:highlight w:val="none"/>
        </w:rPr>
        <w:t>款等行政处罚），符合招标文件的规定。我方对此声明负全部法律责任。</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特此声明。</w:t>
      </w: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声明人</w:t>
      </w:r>
      <w:r>
        <w:rPr>
          <w:rFonts w:ascii="宋体" w:hAnsi="宋体" w:cs="宋体"/>
          <w:color w:val="auto"/>
          <w:kern w:val="0"/>
          <w:sz w:val="24"/>
          <w:szCs w:val="24"/>
          <w:highlight w:val="none"/>
        </w:rPr>
        <w:t xml:space="preserve"> </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盖单位章</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p>
    <w:p>
      <w:pPr>
        <w:widowControl/>
        <w:spacing w:line="360" w:lineRule="auto"/>
        <w:ind w:firstLine="480" w:firstLineChars="200"/>
        <w:jc w:val="center"/>
        <w:rPr>
          <w:color w:val="auto"/>
          <w:highlight w:val="none"/>
        </w:rPr>
      </w:pP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法定代表人或全权代表</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盖章或签字</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pPr>
        <w:pStyle w:val="6"/>
        <w:rPr>
          <w:rFonts w:ascii="宋体"/>
          <w:color w:val="auto"/>
          <w:kern w:val="0"/>
          <w:sz w:val="24"/>
          <w:szCs w:val="24"/>
          <w:highlight w:val="none"/>
        </w:rPr>
      </w:pPr>
    </w:p>
    <w:p>
      <w:pPr>
        <w:rPr>
          <w:color w:val="auto"/>
          <w:highlight w:val="none"/>
        </w:rPr>
      </w:pPr>
    </w:p>
    <w:p>
      <w:pPr>
        <w:widowControl/>
        <w:spacing w:line="360" w:lineRule="auto"/>
        <w:ind w:firstLine="480" w:firstLineChars="200"/>
        <w:jc w:val="center"/>
        <w:rPr>
          <w:color w:val="auto"/>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期：</w:t>
      </w:r>
      <w:r>
        <w:rPr>
          <w:rFonts w:ascii="宋体" w:hAnsi="宋体" w:cs="宋体"/>
          <w:color w:val="auto"/>
          <w:kern w:val="0"/>
          <w:sz w:val="24"/>
          <w:szCs w:val="24"/>
          <w:highlight w:val="none"/>
        </w:rPr>
        <w:t xml:space="preserve"> </w:t>
      </w:r>
    </w:p>
    <w:p>
      <w:pPr>
        <w:pStyle w:val="6"/>
        <w:rPr>
          <w:color w:val="auto"/>
          <w:highlight w:val="none"/>
        </w:rPr>
        <w:sectPr>
          <w:pgSz w:w="11906" w:h="16838"/>
          <w:pgMar w:top="1383" w:right="1247" w:bottom="1383" w:left="1247" w:header="851" w:footer="992" w:gutter="0"/>
          <w:pgNumType w:fmt="decimal"/>
          <w:cols w:space="0" w:num="1"/>
          <w:docGrid w:type="lines" w:linePitch="312" w:charSpace="0"/>
        </w:sectPr>
      </w:pPr>
    </w:p>
    <w:p>
      <w:pPr>
        <w:spacing w:line="360" w:lineRule="auto"/>
        <w:ind w:firstLine="562" w:firstLineChars="200"/>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9</w:t>
      </w:r>
      <w:r>
        <w:rPr>
          <w:rFonts w:hint="eastAsia" w:ascii="宋体" w:hAnsi="宋体" w:cs="宋体"/>
          <w:b/>
          <w:bCs/>
          <w:color w:val="auto"/>
          <w:sz w:val="28"/>
          <w:szCs w:val="28"/>
          <w:highlight w:val="none"/>
        </w:rPr>
        <w:t>：</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r>
        <w:rPr>
          <w:rFonts w:ascii="宋体" w:hAnsi="宋体" w:cs="宋体"/>
          <w:b/>
          <w:bCs/>
          <w:color w:val="auto"/>
          <w:sz w:val="32"/>
          <w:szCs w:val="32"/>
          <w:highlight w:val="none"/>
        </w:rPr>
        <w:t xml:space="preserve"> </w:t>
      </w:r>
    </w:p>
    <w:p>
      <w:pPr>
        <w:spacing w:line="360" w:lineRule="auto"/>
        <w:ind w:left="-2" w:hanging="2"/>
        <w:jc w:val="center"/>
        <w:rPr>
          <w:rFonts w:ascii="宋体"/>
          <w:b/>
          <w:bCs/>
          <w:color w:val="auto"/>
          <w:sz w:val="32"/>
          <w:szCs w:val="32"/>
          <w:highlight w:val="none"/>
        </w:rPr>
      </w:pPr>
    </w:p>
    <w:p>
      <w:pPr>
        <w:pStyle w:val="15"/>
        <w:spacing w:line="320" w:lineRule="exact"/>
        <w:rPr>
          <w:rFonts w:hAnsi="宋体" w:cs="Times New Roman"/>
          <w:b/>
          <w:bCs/>
          <w:color w:val="auto"/>
          <w:sz w:val="24"/>
          <w:szCs w:val="24"/>
          <w:highlight w:val="none"/>
        </w:rPr>
      </w:pPr>
      <w:r>
        <w:rPr>
          <w:rFonts w:hint="eastAsia" w:hAnsi="宋体"/>
          <w:b/>
          <w:bCs/>
          <w:color w:val="auto"/>
          <w:sz w:val="24"/>
          <w:szCs w:val="24"/>
          <w:highlight w:val="none"/>
        </w:rPr>
        <w:t>项目编号：</w:t>
      </w:r>
    </w:p>
    <w:p>
      <w:pPr>
        <w:pStyle w:val="65"/>
        <w:spacing w:line="360" w:lineRule="auto"/>
        <w:ind w:right="480"/>
        <w:jc w:val="left"/>
        <w:rPr>
          <w:rFonts w:hAnsi="宋体"/>
          <w:color w:val="auto"/>
          <w:sz w:val="24"/>
          <w:szCs w:val="24"/>
          <w:highlight w:val="none"/>
        </w:rPr>
      </w:pPr>
      <w:r>
        <w:rPr>
          <w:rFonts w:hint="eastAsia" w:hAnsi="宋体" w:cs="宋体"/>
          <w:b/>
          <w:bCs/>
          <w:color w:val="auto"/>
          <w:sz w:val="24"/>
          <w:szCs w:val="24"/>
          <w:highlight w:val="none"/>
        </w:rPr>
        <w:t>项目名称：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货币单位：人民币元</w:t>
      </w:r>
      <w:r>
        <w:rPr>
          <w:rFonts w:ascii="宋体" w:hAnsi="宋体" w:cs="宋体"/>
          <w:color w:val="auto"/>
          <w:sz w:val="24"/>
          <w:szCs w:val="24"/>
          <w:highlight w:val="none"/>
        </w:rPr>
        <w:t>]</w:t>
      </w:r>
    </w:p>
    <w:tbl>
      <w:tblPr>
        <w:tblStyle w:val="24"/>
        <w:tblW w:w="925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3605"/>
        <w:gridCol w:w="1943"/>
        <w:gridCol w:w="168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04" w:type="dxa"/>
            <w:vAlign w:val="center"/>
          </w:tcPr>
          <w:p>
            <w:pPr>
              <w:spacing w:line="360" w:lineRule="auto"/>
              <w:rPr>
                <w:rFonts w:ascii="宋体"/>
                <w:b/>
                <w:bCs/>
                <w:color w:val="auto"/>
                <w:highlight w:val="none"/>
              </w:rPr>
            </w:pPr>
            <w:r>
              <w:rPr>
                <w:rFonts w:hint="eastAsia" w:ascii="宋体" w:hAnsi="宋体" w:cs="宋体"/>
                <w:b/>
                <w:bCs/>
                <w:color w:val="auto"/>
                <w:highlight w:val="none"/>
              </w:rPr>
              <w:t>序号</w:t>
            </w:r>
          </w:p>
        </w:tc>
        <w:tc>
          <w:tcPr>
            <w:tcW w:w="3605" w:type="dxa"/>
            <w:vAlign w:val="center"/>
          </w:tcPr>
          <w:p>
            <w:pPr>
              <w:tabs>
                <w:tab w:val="left" w:pos="8280"/>
              </w:tabs>
              <w:autoSpaceDE w:val="0"/>
              <w:autoSpaceDN w:val="0"/>
              <w:adjustRightInd w:val="0"/>
              <w:spacing w:line="360" w:lineRule="auto"/>
              <w:ind w:right="25" w:firstLine="105" w:firstLineChars="50"/>
              <w:rPr>
                <w:rFonts w:ascii="宋体"/>
                <w:b/>
                <w:bCs/>
                <w:color w:val="auto"/>
                <w:highlight w:val="none"/>
              </w:rPr>
            </w:pPr>
            <w:r>
              <w:rPr>
                <w:rFonts w:hint="eastAsia" w:ascii="宋体" w:hAnsi="宋体" w:cs="宋体"/>
                <w:b/>
                <w:bCs/>
                <w:color w:val="auto"/>
                <w:highlight w:val="none"/>
              </w:rPr>
              <w:t>项目名称</w:t>
            </w:r>
          </w:p>
        </w:tc>
        <w:tc>
          <w:tcPr>
            <w:tcW w:w="1943" w:type="dxa"/>
            <w:vAlign w:val="center"/>
          </w:tcPr>
          <w:p>
            <w:pPr>
              <w:spacing w:line="360" w:lineRule="auto"/>
              <w:jc w:val="center"/>
              <w:rPr>
                <w:rFonts w:ascii="宋体"/>
                <w:b/>
                <w:bCs/>
                <w:color w:val="auto"/>
                <w:highlight w:val="none"/>
              </w:rPr>
            </w:pPr>
            <w:r>
              <w:rPr>
                <w:rFonts w:hint="eastAsia" w:ascii="宋体" w:hAnsi="宋体" w:cs="宋体"/>
                <w:b/>
                <w:bCs/>
                <w:color w:val="auto"/>
                <w:highlight w:val="none"/>
              </w:rPr>
              <w:t>报价</w:t>
            </w:r>
            <w:r>
              <w:rPr>
                <w:rFonts w:ascii="宋体" w:hAnsi="宋体" w:cs="宋体"/>
                <w:b/>
                <w:bCs/>
                <w:color w:val="auto"/>
                <w:highlight w:val="none"/>
              </w:rPr>
              <w:t xml:space="preserve"> </w:t>
            </w:r>
            <w:r>
              <w:rPr>
                <w:rFonts w:hint="eastAsia" w:ascii="宋体" w:hAnsi="宋体" w:cs="宋体"/>
                <w:b/>
                <w:bCs/>
                <w:color w:val="auto"/>
                <w:highlight w:val="none"/>
              </w:rPr>
              <w:t>（元）</w:t>
            </w:r>
          </w:p>
        </w:tc>
        <w:tc>
          <w:tcPr>
            <w:tcW w:w="1681" w:type="dxa"/>
            <w:vAlign w:val="center"/>
          </w:tcPr>
          <w:p>
            <w:pPr>
              <w:spacing w:line="360" w:lineRule="auto"/>
              <w:jc w:val="center"/>
              <w:rPr>
                <w:rFonts w:ascii="宋体"/>
                <w:b/>
                <w:bCs/>
                <w:color w:val="auto"/>
                <w:highlight w:val="none"/>
              </w:rPr>
            </w:pPr>
            <w:r>
              <w:rPr>
                <w:rFonts w:hint="eastAsia" w:ascii="宋体" w:hAnsi="宋体" w:cs="宋体"/>
                <w:b/>
                <w:bCs/>
                <w:color w:val="auto"/>
                <w:highlight w:val="none"/>
              </w:rPr>
              <w:t>工期</w:t>
            </w:r>
          </w:p>
        </w:tc>
        <w:tc>
          <w:tcPr>
            <w:tcW w:w="1418" w:type="dxa"/>
            <w:vAlign w:val="center"/>
          </w:tcPr>
          <w:p>
            <w:pPr>
              <w:tabs>
                <w:tab w:val="left" w:pos="8280"/>
              </w:tabs>
              <w:autoSpaceDE w:val="0"/>
              <w:autoSpaceDN w:val="0"/>
              <w:adjustRightInd w:val="0"/>
              <w:spacing w:line="360" w:lineRule="auto"/>
              <w:ind w:right="25"/>
              <w:rPr>
                <w:rFonts w:ascii="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604" w:type="dxa"/>
            <w:vAlign w:val="center"/>
          </w:tcPr>
          <w:p>
            <w:pPr>
              <w:tabs>
                <w:tab w:val="left" w:pos="8280"/>
              </w:tabs>
              <w:autoSpaceDE w:val="0"/>
              <w:autoSpaceDN w:val="0"/>
              <w:adjustRightInd w:val="0"/>
              <w:spacing w:line="360" w:lineRule="auto"/>
              <w:ind w:right="25"/>
              <w:jc w:val="center"/>
              <w:rPr>
                <w:rFonts w:ascii="宋体"/>
                <w:b/>
                <w:bCs/>
                <w:color w:val="auto"/>
                <w:highlight w:val="none"/>
              </w:rPr>
            </w:pPr>
            <w:r>
              <w:rPr>
                <w:rFonts w:ascii="宋体" w:hAnsi="宋体" w:cs="宋体"/>
                <w:b/>
                <w:bCs/>
                <w:color w:val="auto"/>
                <w:highlight w:val="none"/>
              </w:rPr>
              <w:t>1</w:t>
            </w:r>
          </w:p>
        </w:tc>
        <w:tc>
          <w:tcPr>
            <w:tcW w:w="3605" w:type="dxa"/>
            <w:vAlign w:val="center"/>
          </w:tcPr>
          <w:p>
            <w:pPr>
              <w:tabs>
                <w:tab w:val="left" w:pos="8280"/>
              </w:tabs>
              <w:autoSpaceDE w:val="0"/>
              <w:autoSpaceDN w:val="0"/>
              <w:adjustRightInd w:val="0"/>
              <w:spacing w:line="360" w:lineRule="auto"/>
              <w:ind w:right="25"/>
              <w:jc w:val="center"/>
              <w:rPr>
                <w:rFonts w:hint="eastAsia" w:ascii="宋体" w:eastAsia="宋体"/>
                <w:b/>
                <w:bCs/>
                <w:color w:val="auto"/>
                <w:highlight w:val="none"/>
                <w:lang w:eastAsia="zh-CN"/>
              </w:rPr>
            </w:pPr>
            <w:r>
              <w:rPr>
                <w:rFonts w:hint="eastAsia" w:ascii="宋体" w:hAnsi="宋体" w:cs="宋体"/>
                <w:color w:val="auto"/>
                <w:highlight w:val="none"/>
                <w:lang w:eastAsia="zh-CN"/>
              </w:rPr>
              <w:t>第二分公司加药系统升级建设配套设施项目</w:t>
            </w:r>
          </w:p>
        </w:tc>
        <w:tc>
          <w:tcPr>
            <w:tcW w:w="1943" w:type="dxa"/>
            <w:vAlign w:val="center"/>
          </w:tcPr>
          <w:p>
            <w:pPr>
              <w:tabs>
                <w:tab w:val="left" w:pos="8280"/>
              </w:tabs>
              <w:autoSpaceDE w:val="0"/>
              <w:autoSpaceDN w:val="0"/>
              <w:adjustRightInd w:val="0"/>
              <w:spacing w:line="360" w:lineRule="auto"/>
              <w:ind w:right="25"/>
              <w:jc w:val="center"/>
              <w:rPr>
                <w:rFonts w:ascii="宋体"/>
                <w:color w:val="auto"/>
                <w:highlight w:val="none"/>
              </w:rPr>
            </w:pPr>
          </w:p>
        </w:tc>
        <w:tc>
          <w:tcPr>
            <w:tcW w:w="1681" w:type="dxa"/>
            <w:vAlign w:val="center"/>
          </w:tcPr>
          <w:p>
            <w:pPr>
              <w:tabs>
                <w:tab w:val="left" w:pos="8280"/>
              </w:tabs>
              <w:autoSpaceDE w:val="0"/>
              <w:autoSpaceDN w:val="0"/>
              <w:adjustRightInd w:val="0"/>
              <w:spacing w:line="360" w:lineRule="auto"/>
              <w:ind w:right="25"/>
              <w:jc w:val="center"/>
              <w:rPr>
                <w:rFonts w:ascii="宋体"/>
                <w:b/>
                <w:bCs/>
                <w:color w:val="auto"/>
                <w:highlight w:val="none"/>
              </w:rPr>
            </w:pPr>
          </w:p>
        </w:tc>
        <w:tc>
          <w:tcPr>
            <w:tcW w:w="1418" w:type="dxa"/>
            <w:vAlign w:val="center"/>
          </w:tcPr>
          <w:p>
            <w:pPr>
              <w:tabs>
                <w:tab w:val="left" w:pos="8280"/>
              </w:tabs>
              <w:autoSpaceDE w:val="0"/>
              <w:autoSpaceDN w:val="0"/>
              <w:adjustRightInd w:val="0"/>
              <w:spacing w:line="360" w:lineRule="auto"/>
              <w:ind w:right="25"/>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251" w:type="dxa"/>
            <w:gridSpan w:val="5"/>
            <w:vAlign w:val="center"/>
          </w:tcPr>
          <w:p>
            <w:pPr>
              <w:tabs>
                <w:tab w:val="left" w:pos="8280"/>
              </w:tabs>
              <w:autoSpaceDE w:val="0"/>
              <w:autoSpaceDN w:val="0"/>
              <w:adjustRightInd w:val="0"/>
              <w:spacing w:line="360" w:lineRule="auto"/>
              <w:ind w:right="25"/>
              <w:jc w:val="left"/>
              <w:rPr>
                <w:rFonts w:ascii="宋体"/>
                <w:b/>
                <w:bCs/>
                <w:color w:val="auto"/>
                <w:highlight w:val="none"/>
                <w:u w:val="single"/>
              </w:rPr>
            </w:pPr>
            <w:r>
              <w:rPr>
                <w:rFonts w:hint="eastAsia" w:ascii="宋体" w:hAnsi="宋体" w:cs="宋体"/>
                <w:b/>
                <w:bCs/>
                <w:color w:val="auto"/>
                <w:highlight w:val="none"/>
              </w:rPr>
              <w:t>大写</w:t>
            </w:r>
            <w:r>
              <w:rPr>
                <w:rFonts w:ascii="宋体" w:hAnsi="宋体" w:cs="宋体"/>
                <w:b/>
                <w:bCs/>
                <w:color w:val="auto"/>
                <w:highlight w:val="none"/>
              </w:rPr>
              <w:t>:</w:t>
            </w:r>
            <w:r>
              <w:rPr>
                <w:rFonts w:ascii="宋体" w:hAnsi="宋体" w:cs="宋体"/>
                <w:b/>
                <w:bCs/>
                <w:color w:val="auto"/>
                <w:highlight w:val="none"/>
                <w:u w:val="single"/>
              </w:rPr>
              <w:t xml:space="preserve">                      </w:t>
            </w:r>
          </w:p>
        </w:tc>
      </w:tr>
    </w:tbl>
    <w:p>
      <w:pPr>
        <w:spacing w:line="360" w:lineRule="auto"/>
        <w:ind w:left="480"/>
        <w:rPr>
          <w:rFonts w:ascii="宋体"/>
          <w:b/>
          <w:bCs/>
          <w:color w:val="auto"/>
          <w:sz w:val="30"/>
          <w:szCs w:val="30"/>
          <w:highlight w:val="none"/>
        </w:rPr>
      </w:pPr>
    </w:p>
    <w:p>
      <w:pPr>
        <w:spacing w:line="360" w:lineRule="auto"/>
        <w:rPr>
          <w:rFonts w:ascii="宋体"/>
          <w:color w:val="auto"/>
          <w:sz w:val="24"/>
          <w:szCs w:val="24"/>
          <w:highlight w:val="none"/>
        </w:rPr>
      </w:pPr>
      <w:r>
        <w:rPr>
          <w:rFonts w:hint="eastAsia" w:ascii="宋体" w:hAnsi="宋体" w:cs="宋体"/>
          <w:b/>
          <w:bCs/>
          <w:color w:val="auto"/>
          <w:highlight w:val="none"/>
        </w:rPr>
        <w:t>填报要求：</w:t>
      </w:r>
    </w:p>
    <w:p>
      <w:pPr>
        <w:tabs>
          <w:tab w:val="left" w:pos="8280"/>
        </w:tabs>
        <w:autoSpaceDE w:val="0"/>
        <w:autoSpaceDN w:val="0"/>
        <w:adjustRightInd w:val="0"/>
        <w:spacing w:line="360" w:lineRule="auto"/>
        <w:ind w:right="23" w:firstLine="420" w:firstLineChars="200"/>
        <w:jc w:val="left"/>
        <w:rPr>
          <w:rFonts w:hint="eastAsia" w:ascii="宋体" w:hAnsi="宋体" w:cs="宋体"/>
          <w:color w:val="auto"/>
          <w:kern w:val="0"/>
          <w:highlight w:val="none"/>
        </w:rPr>
      </w:pPr>
      <w:r>
        <w:rPr>
          <w:rFonts w:ascii="宋体" w:hAnsi="宋体" w:cs="宋体"/>
          <w:color w:val="auto"/>
          <w:kern w:val="0"/>
          <w:highlight w:val="none"/>
        </w:rPr>
        <w:t xml:space="preserve">1. </w:t>
      </w:r>
      <w:r>
        <w:rPr>
          <w:rFonts w:hint="eastAsia" w:ascii="宋体" w:hAnsi="宋体" w:cs="宋体"/>
          <w:color w:val="auto"/>
          <w:kern w:val="0"/>
          <w:highlight w:val="none"/>
        </w:rPr>
        <w:t>投标报价应是招标文件所确定的采购范围内全部工作内容的价格表现。投标报价应包括产品出厂价格（含税）、软件费用、服务费、标准附件、备品备件、专用工具、运杂费、运输保险费、包装、安装调试费、培训费、验收费、售后服务费、投标费、交付业主使用前所产生的其它费用以及合同包含的所有风险、责任等各项应有费用及不可预见费等全部费用。如有漏项，视同已包含在本项目的总报价中，合同总价不做调整。</w:t>
      </w:r>
    </w:p>
    <w:p>
      <w:pPr>
        <w:spacing w:line="360" w:lineRule="auto"/>
        <w:ind w:firstLine="420" w:firstLineChars="200"/>
        <w:rPr>
          <w:rFonts w:ascii="宋体"/>
          <w:b/>
          <w:bCs/>
          <w:i/>
          <w:iCs/>
          <w:color w:val="auto"/>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报价一经涂改，应在涂改处加盖单位公章，或者由法定代表人或全权代表签字或盖章，否则其投标作无效标处理。</w:t>
      </w:r>
    </w:p>
    <w:p>
      <w:pPr>
        <w:spacing w:line="360" w:lineRule="auto"/>
        <w:ind w:left="420"/>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rPr>
          <w:rFonts w:ascii="宋体"/>
          <w:b/>
          <w:bCs/>
          <w:color w:val="auto"/>
          <w:sz w:val="28"/>
          <w:szCs w:val="28"/>
          <w:highlight w:val="none"/>
        </w:rPr>
      </w:pPr>
      <w:r>
        <w:rPr>
          <w:rFonts w:ascii="宋体"/>
          <w:b/>
          <w:bCs/>
          <w:color w:val="auto"/>
          <w:sz w:val="28"/>
          <w:szCs w:val="28"/>
          <w:highlight w:val="none"/>
        </w:rPr>
        <w:br w:type="page"/>
      </w:r>
    </w:p>
    <w:p>
      <w:pPr>
        <w:spacing w:line="360" w:lineRule="auto"/>
        <w:ind w:firstLine="562" w:firstLineChars="200"/>
        <w:rPr>
          <w:rFonts w:ascii="宋体"/>
          <w:b/>
          <w:bCs/>
          <w:color w:val="auto"/>
          <w:sz w:val="44"/>
          <w:szCs w:val="4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10</w:t>
      </w:r>
      <w:r>
        <w:rPr>
          <w:rFonts w:hint="eastAsia" w:ascii="宋体" w:hAnsi="宋体" w:cs="宋体"/>
          <w:b/>
          <w:bCs/>
          <w:color w:val="auto"/>
          <w:sz w:val="28"/>
          <w:szCs w:val="28"/>
          <w:highlight w:val="none"/>
        </w:rPr>
        <w:t>：</w:t>
      </w:r>
    </w:p>
    <w:p>
      <w:pPr>
        <w:spacing w:line="360" w:lineRule="auto"/>
        <w:ind w:left="-2" w:hanging="2"/>
        <w:jc w:val="center"/>
        <w:rPr>
          <w:color w:val="auto"/>
          <w:highlight w:val="none"/>
        </w:rPr>
      </w:pPr>
      <w:r>
        <w:rPr>
          <w:rFonts w:hint="eastAsia" w:ascii="宋体" w:hAnsi="宋体" w:cs="宋体"/>
          <w:b/>
          <w:bCs/>
          <w:color w:val="auto"/>
          <w:sz w:val="32"/>
          <w:szCs w:val="32"/>
          <w:highlight w:val="none"/>
        </w:rPr>
        <w:t>报价明细表</w:t>
      </w:r>
    </w:p>
    <w:p>
      <w:pPr>
        <w:pStyle w:val="15"/>
        <w:spacing w:line="320" w:lineRule="exact"/>
        <w:rPr>
          <w:rFonts w:cs="Times New Roman"/>
          <w:color w:val="auto"/>
          <w:sz w:val="28"/>
          <w:szCs w:val="28"/>
          <w:highlight w:val="none"/>
        </w:rPr>
      </w:pPr>
      <w:r>
        <w:rPr>
          <w:rFonts w:hint="eastAsia" w:hAnsi="宋体"/>
          <w:b/>
          <w:bCs/>
          <w:color w:val="auto"/>
          <w:sz w:val="24"/>
          <w:szCs w:val="24"/>
          <w:highlight w:val="none"/>
        </w:rPr>
        <w:t>项目编号：</w:t>
      </w:r>
      <w:r>
        <w:rPr>
          <w:rFonts w:hAnsi="宋体"/>
          <w:b/>
          <w:bCs/>
          <w:color w:val="auto"/>
          <w:sz w:val="24"/>
          <w:szCs w:val="24"/>
          <w:highlight w:val="none"/>
        </w:rPr>
        <w:t xml:space="preserve">     </w:t>
      </w:r>
      <w:r>
        <w:rPr>
          <w:rFonts w:hint="eastAsia" w:hAnsi="宋体"/>
          <w:b/>
          <w:bCs/>
          <w:color w:val="auto"/>
          <w:sz w:val="24"/>
          <w:szCs w:val="24"/>
          <w:highlight w:val="none"/>
        </w:rPr>
        <w:t>项目名称：</w:t>
      </w:r>
      <w:r>
        <w:rPr>
          <w:rFonts w:hAnsi="宋体"/>
          <w:color w:val="auto"/>
          <w:sz w:val="28"/>
          <w:szCs w:val="28"/>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（货币单位：人民币元）</w:t>
      </w:r>
    </w:p>
    <w:tbl>
      <w:tblPr>
        <w:tblStyle w:val="2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5562"/>
        <w:gridCol w:w="14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tcPr>
          <w:p>
            <w:pPr>
              <w:snapToGrid w:val="0"/>
              <w:spacing w:beforeLines="50" w:after="50" w:line="360" w:lineRule="auto"/>
              <w:ind w:left="-28"/>
              <w:rPr>
                <w:rFonts w:ascii="宋体"/>
                <w:color w:val="auto"/>
                <w:sz w:val="24"/>
                <w:szCs w:val="24"/>
                <w:highlight w:val="none"/>
              </w:rPr>
            </w:pPr>
            <w:r>
              <w:rPr>
                <w:rFonts w:hint="eastAsia" w:ascii="宋体" w:hAnsi="宋体" w:cs="宋体"/>
                <w:color w:val="auto"/>
                <w:sz w:val="24"/>
                <w:szCs w:val="24"/>
                <w:highlight w:val="none"/>
              </w:rPr>
              <w:t>序号</w:t>
            </w:r>
          </w:p>
        </w:tc>
        <w:tc>
          <w:tcPr>
            <w:tcW w:w="5562" w:type="dxa"/>
          </w:tcPr>
          <w:p>
            <w:pPr>
              <w:snapToGrid w:val="0"/>
              <w:spacing w:beforeLines="50" w:after="50" w:line="360" w:lineRule="auto"/>
              <w:ind w:left="-28"/>
              <w:jc w:val="center"/>
              <w:rPr>
                <w:rFonts w:ascii="宋体"/>
                <w:color w:val="auto"/>
                <w:sz w:val="24"/>
                <w:szCs w:val="24"/>
                <w:highlight w:val="none"/>
              </w:rPr>
            </w:pPr>
            <w:r>
              <w:rPr>
                <w:rFonts w:hint="eastAsia" w:ascii="宋体" w:hAnsi="宋体" w:cs="宋体"/>
                <w:color w:val="auto"/>
                <w:sz w:val="24"/>
                <w:szCs w:val="24"/>
                <w:highlight w:val="none"/>
              </w:rPr>
              <w:t>报价项目</w:t>
            </w:r>
          </w:p>
        </w:tc>
        <w:tc>
          <w:tcPr>
            <w:tcW w:w="1410" w:type="dxa"/>
          </w:tcPr>
          <w:p>
            <w:pPr>
              <w:snapToGrid w:val="0"/>
              <w:spacing w:beforeLines="50" w:after="50" w:line="360" w:lineRule="auto"/>
              <w:rPr>
                <w:rFonts w:ascii="宋体"/>
                <w:color w:val="auto"/>
                <w:sz w:val="24"/>
                <w:szCs w:val="24"/>
                <w:highlight w:val="none"/>
              </w:rPr>
            </w:pPr>
            <w:r>
              <w:rPr>
                <w:rFonts w:hint="eastAsia" w:ascii="宋体" w:hAnsi="宋体" w:cs="宋体"/>
                <w:color w:val="auto"/>
                <w:sz w:val="24"/>
                <w:szCs w:val="24"/>
                <w:highlight w:val="none"/>
              </w:rPr>
              <w:t>费用（元）</w:t>
            </w:r>
          </w:p>
        </w:tc>
        <w:tc>
          <w:tcPr>
            <w:tcW w:w="993" w:type="dxa"/>
          </w:tcPr>
          <w:p>
            <w:pPr>
              <w:snapToGrid w:val="0"/>
              <w:spacing w:beforeLines="50" w:after="50" w:line="360" w:lineRule="auto"/>
              <w:ind w:left="-28"/>
              <w:rPr>
                <w:rFonts w:ascii="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ind w:left="-28"/>
              <w:jc w:val="center"/>
              <w:rPr>
                <w:rFonts w:ascii="宋体" w:cs="宋体"/>
                <w:color w:val="auto"/>
                <w:sz w:val="24"/>
                <w:szCs w:val="24"/>
                <w:highlight w:val="none"/>
              </w:rPr>
            </w:pPr>
            <w:r>
              <w:rPr>
                <w:rFonts w:ascii="宋体" w:cs="宋体"/>
                <w:color w:val="auto"/>
                <w:sz w:val="24"/>
                <w:szCs w:val="24"/>
                <w:highlight w:val="none"/>
              </w:rPr>
              <w:t>1</w:t>
            </w:r>
          </w:p>
        </w:tc>
        <w:tc>
          <w:tcPr>
            <w:tcW w:w="5562" w:type="dxa"/>
            <w:vAlign w:val="center"/>
          </w:tcPr>
          <w:p>
            <w:pPr>
              <w:snapToGrid w:val="0"/>
              <w:spacing w:beforeLines="50" w:after="50" w:line="360" w:lineRule="auto"/>
              <w:ind w:left="-28"/>
              <w:jc w:val="center"/>
              <w:rPr>
                <w:color w:val="auto"/>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2</w:t>
            </w:r>
          </w:p>
        </w:tc>
        <w:tc>
          <w:tcPr>
            <w:tcW w:w="5562" w:type="dxa"/>
            <w:vAlign w:val="center"/>
          </w:tcPr>
          <w:p>
            <w:pPr>
              <w:snapToGrid w:val="0"/>
              <w:spacing w:beforeLines="50" w:after="50" w:line="360" w:lineRule="auto"/>
              <w:ind w:left="-28"/>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3</w:t>
            </w:r>
          </w:p>
        </w:tc>
        <w:tc>
          <w:tcPr>
            <w:tcW w:w="5562" w:type="dxa"/>
            <w:vAlign w:val="center"/>
          </w:tcPr>
          <w:p>
            <w:pPr>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ind w:left="-28"/>
              <w:jc w:val="center"/>
              <w:rPr>
                <w:rFonts w:ascii="宋体" w:cs="宋体"/>
                <w:color w:val="auto"/>
                <w:sz w:val="24"/>
                <w:szCs w:val="24"/>
                <w:highlight w:val="none"/>
              </w:rPr>
            </w:pPr>
            <w:r>
              <w:rPr>
                <w:rFonts w:ascii="宋体" w:cs="宋体"/>
                <w:color w:val="auto"/>
                <w:sz w:val="24"/>
                <w:szCs w:val="24"/>
                <w:highlight w:val="none"/>
              </w:rPr>
              <w:t>4</w:t>
            </w:r>
          </w:p>
        </w:tc>
        <w:tc>
          <w:tcPr>
            <w:tcW w:w="5562" w:type="dxa"/>
            <w:vAlign w:val="center"/>
          </w:tcPr>
          <w:p>
            <w:pPr>
              <w:snapToGrid w:val="0"/>
              <w:spacing w:beforeLines="50" w:after="50" w:line="360" w:lineRule="auto"/>
              <w:ind w:left="-28"/>
              <w:jc w:val="center"/>
              <w:rPr>
                <w:rFonts w:ascii="宋体" w:cs="宋体"/>
                <w:color w:val="auto"/>
                <w:sz w:val="24"/>
                <w:szCs w:val="24"/>
                <w:highlight w:val="none"/>
              </w:rPr>
            </w:pPr>
          </w:p>
        </w:tc>
        <w:tc>
          <w:tcPr>
            <w:tcW w:w="1410" w:type="dxa"/>
            <w:vAlign w:val="center"/>
          </w:tcPr>
          <w:p>
            <w:pPr>
              <w:snapToGrid w:val="0"/>
              <w:spacing w:beforeLines="50" w:after="50" w:line="360" w:lineRule="auto"/>
              <w:ind w:left="-28"/>
              <w:jc w:val="center"/>
              <w:rPr>
                <w:rFonts w:ascii="宋体" w:cs="宋体"/>
                <w:color w:val="auto"/>
                <w:sz w:val="24"/>
                <w:szCs w:val="24"/>
                <w:highlight w:val="none"/>
              </w:rPr>
            </w:pPr>
          </w:p>
        </w:tc>
        <w:tc>
          <w:tcPr>
            <w:tcW w:w="993" w:type="dxa"/>
            <w:vAlign w:val="center"/>
          </w:tcPr>
          <w:p>
            <w:pPr>
              <w:snapToGrid w:val="0"/>
              <w:spacing w:beforeLines="50" w:after="50" w:line="360" w:lineRule="auto"/>
              <w:ind w:left="-28"/>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5</w:t>
            </w:r>
          </w:p>
        </w:tc>
        <w:tc>
          <w:tcPr>
            <w:tcW w:w="5562" w:type="dxa"/>
            <w:vAlign w:val="center"/>
          </w:tcPr>
          <w:p>
            <w:pPr>
              <w:snapToGrid w:val="0"/>
              <w:spacing w:beforeLines="50" w:after="50" w:line="360" w:lineRule="auto"/>
              <w:ind w:left="-28"/>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6</w:t>
            </w:r>
          </w:p>
        </w:tc>
        <w:tc>
          <w:tcPr>
            <w:tcW w:w="5562" w:type="dxa"/>
            <w:vAlign w:val="center"/>
          </w:tcPr>
          <w:p>
            <w:pPr>
              <w:tabs>
                <w:tab w:val="left" w:pos="952"/>
              </w:tabs>
              <w:snapToGrid w:val="0"/>
              <w:spacing w:beforeLines="50" w:after="50" w:line="360" w:lineRule="auto"/>
              <w:ind w:left="-28"/>
              <w:jc w:val="center"/>
              <w:rPr>
                <w:snapToGrid w:val="0"/>
                <w:color w:val="auto"/>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ind w:left="-28"/>
              <w:jc w:val="center"/>
              <w:rPr>
                <w:rFonts w:ascii="宋体"/>
                <w:color w:val="auto"/>
                <w:sz w:val="24"/>
                <w:szCs w:val="24"/>
                <w:highlight w:val="none"/>
              </w:rPr>
            </w:pPr>
            <w:r>
              <w:rPr>
                <w:rFonts w:hint="eastAsia" w:ascii="宋体" w:cs="宋体"/>
                <w:color w:val="auto"/>
                <w:sz w:val="24"/>
                <w:szCs w:val="24"/>
                <w:highlight w:val="none"/>
              </w:rPr>
              <w:t>…</w:t>
            </w:r>
          </w:p>
        </w:tc>
        <w:tc>
          <w:tcPr>
            <w:tcW w:w="5562" w:type="dxa"/>
            <w:vAlign w:val="center"/>
          </w:tcPr>
          <w:p>
            <w:pPr>
              <w:snapToGrid w:val="0"/>
              <w:spacing w:beforeLines="50" w:after="50" w:line="360" w:lineRule="auto"/>
              <w:ind w:left="-28"/>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17" w:type="dxa"/>
            <w:gridSpan w:val="2"/>
            <w:vAlign w:val="center"/>
          </w:tcPr>
          <w:p>
            <w:pPr>
              <w:snapToGrid w:val="0"/>
              <w:spacing w:beforeLines="50" w:after="50" w:line="360" w:lineRule="auto"/>
              <w:ind w:left="-28"/>
              <w:jc w:val="center"/>
              <w:rPr>
                <w:rFonts w:ascii="宋体"/>
                <w:color w:val="auto"/>
                <w:sz w:val="24"/>
                <w:szCs w:val="24"/>
                <w:highlight w:val="none"/>
              </w:rPr>
            </w:pPr>
            <w:r>
              <w:rPr>
                <w:rFonts w:hint="eastAsia" w:ascii="宋体" w:hAnsi="宋体" w:cs="宋体"/>
                <w:color w:val="auto"/>
                <w:sz w:val="24"/>
                <w:szCs w:val="24"/>
                <w:highlight w:val="none"/>
              </w:rPr>
              <w:t>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计（结转至开标一览表）</w:t>
            </w: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bl>
    <w:p>
      <w:pPr>
        <w:snapToGrid w:val="0"/>
        <w:spacing w:beforeLines="50" w:after="50" w:line="360" w:lineRule="auto"/>
        <w:rPr>
          <w:rFonts w:ascii="宋体"/>
          <w:b/>
          <w:bCs/>
          <w:color w:val="auto"/>
          <w:sz w:val="28"/>
          <w:szCs w:val="28"/>
          <w:highlight w:val="none"/>
        </w:rPr>
      </w:pPr>
      <w:r>
        <w:rPr>
          <w:rFonts w:hint="eastAsia" w:ascii="宋体" w:hAnsi="宋体" w:cs="宋体"/>
          <w:b/>
          <w:bCs/>
          <w:color w:val="auto"/>
          <w:sz w:val="28"/>
          <w:szCs w:val="28"/>
          <w:highlight w:val="none"/>
        </w:rPr>
        <w:t>注：</w:t>
      </w:r>
    </w:p>
    <w:p>
      <w:pPr>
        <w:spacing w:line="360" w:lineRule="auto"/>
        <w:ind w:left="435"/>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pPr>
        <w:spacing w:line="360" w:lineRule="auto"/>
        <w:ind w:left="435"/>
        <w:rPr>
          <w:rFonts w:ascii="宋体"/>
          <w:color w:val="auto"/>
          <w:highlight w:val="none"/>
          <w:lang w:val="zh-CN"/>
        </w:rPr>
      </w:pPr>
      <w:r>
        <w:rPr>
          <w:rFonts w:ascii="宋体" w:hAnsi="宋体" w:cs="宋体"/>
          <w:color w:val="auto"/>
          <w:sz w:val="24"/>
          <w:szCs w:val="24"/>
          <w:highlight w:val="none"/>
        </w:rPr>
        <w:t>2.</w:t>
      </w:r>
      <w:r>
        <w:rPr>
          <w:rFonts w:hint="eastAsia" w:ascii="宋体" w:cs="宋体"/>
          <w:color w:val="auto"/>
          <w:sz w:val="24"/>
          <w:szCs w:val="24"/>
          <w:highlight w:val="none"/>
          <w:lang w:val="zh-CN"/>
        </w:rPr>
        <w:t>“报价明细表”中的报价合计应与“开标一览表”中的投标总报价相一致，不一致时，以开标一览表为准。</w:t>
      </w:r>
    </w:p>
    <w:p>
      <w:pPr>
        <w:spacing w:line="360" w:lineRule="auto"/>
        <w:ind w:left="420"/>
        <w:rPr>
          <w:rFonts w:ascii="宋体"/>
          <w:color w:val="auto"/>
          <w:sz w:val="24"/>
          <w:szCs w:val="24"/>
          <w:highlight w:val="none"/>
        </w:rPr>
      </w:pPr>
    </w:p>
    <w:p>
      <w:pPr>
        <w:spacing w:line="360" w:lineRule="auto"/>
        <w:ind w:left="420"/>
        <w:rPr>
          <w:rFonts w:ascii="宋体"/>
          <w:color w:val="auto"/>
          <w:sz w:val="24"/>
          <w:szCs w:val="24"/>
          <w:highlight w:val="none"/>
          <w:u w:val="single"/>
        </w:rPr>
      </w:pPr>
      <w:r>
        <w:rPr>
          <w:rFonts w:hint="eastAsia" w:ascii="宋体" w:hAnsi="宋体" w:cs="宋体"/>
          <w:color w:val="auto"/>
          <w:sz w:val="24"/>
          <w:szCs w:val="24"/>
          <w:highlight w:val="none"/>
        </w:rPr>
        <w:t>投标人名称（盖章）：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投标人代表签字或盖章：</w:t>
      </w:r>
    </w:p>
    <w:p>
      <w:pPr>
        <w:spacing w:line="360" w:lineRule="auto"/>
        <w:ind w:firstLine="435"/>
        <w:rPr>
          <w:rFonts w:ascii="宋体"/>
          <w:color w:val="auto"/>
          <w:sz w:val="24"/>
          <w:szCs w:val="24"/>
          <w:highlight w:val="none"/>
        </w:rPr>
      </w:pPr>
    </w:p>
    <w:p>
      <w:pPr>
        <w:rPr>
          <w:rFonts w:ascii="宋体"/>
          <w:b/>
          <w:bCs/>
          <w:color w:val="auto"/>
          <w:sz w:val="28"/>
          <w:szCs w:val="28"/>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r>
        <w:rPr>
          <w:rFonts w:ascii="宋体"/>
          <w:b/>
          <w:bCs/>
          <w:color w:val="auto"/>
          <w:sz w:val="28"/>
          <w:szCs w:val="28"/>
          <w:highlight w:val="none"/>
        </w:rPr>
        <w:br w:type="page"/>
      </w:r>
    </w:p>
    <w:p>
      <w:pPr>
        <w:spacing w:line="360" w:lineRule="auto"/>
        <w:ind w:right="-108" w:firstLine="562" w:firstLineChars="200"/>
        <w:jc w:val="left"/>
        <w:rPr>
          <w:rFonts w:ascii="宋体"/>
          <w:color w:val="auto"/>
          <w:spacing w:val="40"/>
          <w:sz w:val="52"/>
          <w:szCs w:val="52"/>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11</w:t>
      </w:r>
      <w:r>
        <w:rPr>
          <w:rFonts w:hint="eastAsia" w:ascii="宋体" w:hAnsi="宋体" w:cs="宋体"/>
          <w:b/>
          <w:bCs/>
          <w:color w:val="auto"/>
          <w:sz w:val="28"/>
          <w:szCs w:val="28"/>
          <w:highlight w:val="none"/>
        </w:rPr>
        <w:t>：</w:t>
      </w:r>
    </w:p>
    <w:p>
      <w:pPr>
        <w:pStyle w:val="2"/>
        <w:tabs>
          <w:tab w:val="left" w:pos="4944"/>
        </w:tabs>
        <w:kinsoku w:val="0"/>
        <w:overflowPunct w:val="0"/>
        <w:ind w:left="2423"/>
        <w:rPr>
          <w:color w:val="auto"/>
          <w:sz w:val="84"/>
          <w:szCs w:val="84"/>
          <w:highlight w:val="none"/>
        </w:rPr>
      </w:pPr>
    </w:p>
    <w:p>
      <w:pPr>
        <w:pStyle w:val="2"/>
        <w:tabs>
          <w:tab w:val="left" w:pos="4944"/>
        </w:tabs>
        <w:kinsoku w:val="0"/>
        <w:overflowPunct w:val="0"/>
        <w:spacing w:line="360" w:lineRule="auto"/>
        <w:jc w:val="center"/>
        <w:rPr>
          <w:color w:val="auto"/>
          <w:sz w:val="84"/>
          <w:szCs w:val="84"/>
          <w:highlight w:val="none"/>
        </w:rPr>
      </w:pPr>
      <w:r>
        <w:rPr>
          <w:rFonts w:hint="eastAsia" w:cs="宋体"/>
          <w:color w:val="auto"/>
          <w:sz w:val="84"/>
          <w:szCs w:val="84"/>
          <w:highlight w:val="none"/>
        </w:rPr>
        <w:t>投</w:t>
      </w:r>
      <w:r>
        <w:rPr>
          <w:color w:val="auto"/>
          <w:sz w:val="84"/>
          <w:szCs w:val="84"/>
          <w:highlight w:val="none"/>
        </w:rPr>
        <w:t xml:space="preserve"> </w:t>
      </w:r>
      <w:r>
        <w:rPr>
          <w:rFonts w:hint="eastAsia" w:cs="宋体"/>
          <w:color w:val="auto"/>
          <w:sz w:val="84"/>
          <w:szCs w:val="84"/>
          <w:highlight w:val="none"/>
        </w:rPr>
        <w:t>标文</w:t>
      </w:r>
      <w:r>
        <w:rPr>
          <w:color w:val="auto"/>
          <w:sz w:val="84"/>
          <w:szCs w:val="84"/>
          <w:highlight w:val="none"/>
        </w:rPr>
        <w:t xml:space="preserve"> </w:t>
      </w:r>
      <w:r>
        <w:rPr>
          <w:rFonts w:hint="eastAsia" w:cs="宋体"/>
          <w:color w:val="auto"/>
          <w:sz w:val="84"/>
          <w:szCs w:val="84"/>
          <w:highlight w:val="none"/>
        </w:rPr>
        <w:t>件</w:t>
      </w:r>
    </w:p>
    <w:p>
      <w:pPr>
        <w:pStyle w:val="2"/>
        <w:kinsoku w:val="0"/>
        <w:overflowPunct w:val="0"/>
        <w:spacing w:before="554" w:line="364" w:lineRule="auto"/>
        <w:ind w:left="376" w:right="1073"/>
        <w:jc w:val="center"/>
        <w:rPr>
          <w:b/>
          <w:bCs/>
          <w:color w:val="auto"/>
          <w:sz w:val="28"/>
          <w:szCs w:val="28"/>
          <w:highlight w:val="none"/>
        </w:rPr>
      </w:pPr>
      <w:r>
        <w:rPr>
          <w:rFonts w:hint="eastAsia" w:cs="宋体"/>
          <w:b/>
          <w:bCs/>
          <w:color w:val="auto"/>
          <w:sz w:val="28"/>
          <w:szCs w:val="28"/>
          <w:highlight w:val="none"/>
        </w:rPr>
        <w:t>“资格证明文件”或“商务与技术文件”或“报价文件”（请选择）</w:t>
      </w:r>
      <w:r>
        <w:rPr>
          <w:b/>
          <w:bCs/>
          <w:color w:val="auto"/>
          <w:sz w:val="28"/>
          <w:szCs w:val="28"/>
          <w:highlight w:val="none"/>
        </w:rPr>
        <w:t xml:space="preserve"> </w:t>
      </w:r>
      <w:r>
        <w:rPr>
          <w:rFonts w:hint="eastAsia" w:cs="宋体"/>
          <w:b/>
          <w:bCs/>
          <w:color w:val="auto"/>
          <w:sz w:val="28"/>
          <w:szCs w:val="28"/>
          <w:highlight w:val="none"/>
        </w:rPr>
        <w:t>正本或副本（请选择）</w:t>
      </w: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34"/>
          <w:szCs w:val="34"/>
          <w:highlight w:val="none"/>
        </w:rPr>
      </w:pPr>
    </w:p>
    <w:p>
      <w:pPr>
        <w:pStyle w:val="2"/>
        <w:kinsoku w:val="0"/>
        <w:overflowPunct w:val="0"/>
        <w:spacing w:line="364" w:lineRule="auto"/>
        <w:ind w:left="4029" w:right="4448" w:hanging="1"/>
        <w:jc w:val="center"/>
        <w:rPr>
          <w:b/>
          <w:bCs/>
          <w:color w:val="auto"/>
          <w:sz w:val="28"/>
          <w:szCs w:val="28"/>
          <w:highlight w:val="none"/>
        </w:rPr>
      </w:pPr>
      <w:r>
        <w:rPr>
          <w:rFonts w:hint="eastAsia" w:cs="宋体"/>
          <w:b/>
          <w:bCs/>
          <w:color w:val="auto"/>
          <w:sz w:val="28"/>
          <w:szCs w:val="28"/>
          <w:highlight w:val="none"/>
        </w:rPr>
        <w:t>项目编号</w:t>
      </w:r>
      <w:r>
        <w:rPr>
          <w:b/>
          <w:bCs/>
          <w:color w:val="auto"/>
          <w:sz w:val="28"/>
          <w:szCs w:val="28"/>
          <w:highlight w:val="none"/>
        </w:rPr>
        <w:t xml:space="preserve">: </w:t>
      </w:r>
      <w:r>
        <w:rPr>
          <w:rFonts w:hint="eastAsia" w:cs="宋体"/>
          <w:b/>
          <w:bCs/>
          <w:color w:val="auto"/>
          <w:sz w:val="28"/>
          <w:szCs w:val="28"/>
          <w:highlight w:val="none"/>
        </w:rPr>
        <w:t>项目名称：</w:t>
      </w: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tabs>
          <w:tab w:val="left" w:pos="5830"/>
        </w:tabs>
        <w:kinsoku w:val="0"/>
        <w:overflowPunct w:val="0"/>
        <w:spacing w:before="223"/>
        <w:ind w:right="521"/>
        <w:jc w:val="center"/>
        <w:rPr>
          <w:b/>
          <w:bCs/>
          <w:color w:val="auto"/>
          <w:sz w:val="28"/>
          <w:szCs w:val="28"/>
          <w:highlight w:val="none"/>
        </w:rPr>
      </w:pPr>
      <w:r>
        <w:rPr>
          <w:rFonts w:hint="eastAsia" w:cs="宋体"/>
          <w:b/>
          <w:bCs/>
          <w:color w:val="auto"/>
          <w:w w:val="95"/>
          <w:sz w:val="28"/>
          <w:szCs w:val="28"/>
          <w:highlight w:val="none"/>
        </w:rPr>
        <w:t>投标人：（盖单位章）</w:t>
      </w:r>
      <w:r>
        <w:rPr>
          <w:b/>
          <w:bCs/>
          <w:color w:val="auto"/>
          <w:sz w:val="28"/>
          <w:szCs w:val="28"/>
          <w:highlight w:val="none"/>
          <w:u w:val="single" w:color="000000"/>
        </w:rPr>
        <w:t xml:space="preserve"> </w:t>
      </w:r>
      <w:r>
        <w:rPr>
          <w:b/>
          <w:bCs/>
          <w:color w:val="auto"/>
          <w:sz w:val="28"/>
          <w:szCs w:val="28"/>
          <w:highlight w:val="none"/>
          <w:u w:val="single" w:color="000000"/>
        </w:rPr>
        <w:tab/>
      </w:r>
    </w:p>
    <w:p>
      <w:pPr>
        <w:pStyle w:val="2"/>
        <w:tabs>
          <w:tab w:val="left" w:pos="8776"/>
        </w:tabs>
        <w:kinsoku w:val="0"/>
        <w:overflowPunct w:val="0"/>
        <w:spacing w:before="186"/>
        <w:ind w:left="1766"/>
        <w:rPr>
          <w:b/>
          <w:bCs/>
          <w:color w:val="auto"/>
          <w:sz w:val="28"/>
          <w:szCs w:val="28"/>
          <w:highlight w:val="none"/>
        </w:rPr>
      </w:pPr>
      <w:r>
        <w:rPr>
          <w:rFonts w:hint="eastAsia" w:cs="宋体"/>
          <w:b/>
          <w:bCs/>
          <w:color w:val="auto"/>
          <w:w w:val="95"/>
          <w:sz w:val="28"/>
          <w:szCs w:val="28"/>
          <w:highlight w:val="none"/>
        </w:rPr>
        <w:t>法定代表人或全权代表：（盖章或签字）</w:t>
      </w:r>
      <w:r>
        <w:rPr>
          <w:b/>
          <w:bCs/>
          <w:color w:val="auto"/>
          <w:sz w:val="28"/>
          <w:szCs w:val="28"/>
          <w:highlight w:val="none"/>
          <w:u w:val="single" w:color="000000"/>
        </w:rPr>
        <w:t xml:space="preserve"> </w:t>
      </w:r>
      <w:r>
        <w:rPr>
          <w:b/>
          <w:bCs/>
          <w:color w:val="auto"/>
          <w:sz w:val="28"/>
          <w:szCs w:val="28"/>
          <w:highlight w:val="none"/>
          <w:u w:val="single" w:color="000000"/>
        </w:rPr>
        <w:tab/>
      </w:r>
    </w:p>
    <w:p>
      <w:pPr>
        <w:pStyle w:val="2"/>
        <w:kinsoku w:val="0"/>
        <w:overflowPunct w:val="0"/>
        <w:rPr>
          <w:b/>
          <w:bCs/>
          <w:color w:val="auto"/>
          <w:sz w:val="20"/>
          <w:szCs w:val="20"/>
          <w:highlight w:val="none"/>
        </w:rPr>
      </w:pPr>
    </w:p>
    <w:p>
      <w:pPr>
        <w:pStyle w:val="2"/>
        <w:kinsoku w:val="0"/>
        <w:overflowPunct w:val="0"/>
        <w:rPr>
          <w:b/>
          <w:bCs/>
          <w:color w:val="auto"/>
          <w:sz w:val="20"/>
          <w:szCs w:val="20"/>
          <w:highlight w:val="none"/>
        </w:rPr>
      </w:pPr>
    </w:p>
    <w:p>
      <w:pPr>
        <w:pStyle w:val="2"/>
        <w:kinsoku w:val="0"/>
        <w:overflowPunct w:val="0"/>
        <w:spacing w:before="3"/>
        <w:rPr>
          <w:b/>
          <w:bCs/>
          <w:color w:val="auto"/>
          <w:sz w:val="18"/>
          <w:szCs w:val="18"/>
          <w:highlight w:val="none"/>
        </w:rPr>
      </w:pPr>
    </w:p>
    <w:p>
      <w:pPr>
        <w:pStyle w:val="2"/>
        <w:tabs>
          <w:tab w:val="left" w:pos="3595"/>
          <w:tab w:val="left" w:pos="4017"/>
          <w:tab w:val="left" w:pos="4579"/>
          <w:tab w:val="left" w:pos="5001"/>
          <w:tab w:val="left" w:pos="5563"/>
          <w:tab w:val="left" w:pos="6127"/>
        </w:tabs>
        <w:kinsoku w:val="0"/>
        <w:overflowPunct w:val="0"/>
        <w:spacing w:before="62"/>
        <w:ind w:left="3031"/>
        <w:rPr>
          <w:b/>
          <w:bCs/>
          <w:color w:val="auto"/>
          <w:sz w:val="28"/>
          <w:szCs w:val="28"/>
          <w:highlight w:val="none"/>
        </w:rPr>
      </w:pPr>
      <w:r>
        <w:rPr>
          <w:rFonts w:hint="eastAsia" w:cs="宋体"/>
          <w:b/>
          <w:bCs/>
          <w:color w:val="auto"/>
          <w:sz w:val="28"/>
          <w:szCs w:val="28"/>
          <w:highlight w:val="none"/>
        </w:rPr>
        <w:t>二</w:t>
      </w:r>
      <w:r>
        <w:rPr>
          <w:b/>
          <w:bCs/>
          <w:color w:val="auto"/>
          <w:sz w:val="28"/>
          <w:szCs w:val="28"/>
          <w:highlight w:val="none"/>
        </w:rPr>
        <w:tab/>
      </w:r>
      <w:r>
        <w:rPr>
          <w:rFonts w:hint="eastAsia" w:cs="宋体"/>
          <w:b/>
          <w:bCs/>
          <w:color w:val="auto"/>
          <w:sz w:val="28"/>
          <w:szCs w:val="28"/>
          <w:highlight w:val="none"/>
        </w:rPr>
        <w:t>〇</w:t>
      </w:r>
      <w:r>
        <w:rPr>
          <w:b/>
          <w:bCs/>
          <w:color w:val="auto"/>
          <w:sz w:val="28"/>
          <w:szCs w:val="28"/>
          <w:highlight w:val="none"/>
        </w:rPr>
        <w:tab/>
      </w:r>
      <w:r>
        <w:rPr>
          <w:rFonts w:hint="eastAsia" w:cs="宋体"/>
          <w:b/>
          <w:bCs/>
          <w:color w:val="auto"/>
          <w:sz w:val="28"/>
          <w:szCs w:val="28"/>
          <w:highlight w:val="none"/>
        </w:rPr>
        <w:t>二</w:t>
      </w:r>
      <w:r>
        <w:rPr>
          <w:b/>
          <w:bCs/>
          <w:color w:val="auto"/>
          <w:sz w:val="28"/>
          <w:szCs w:val="28"/>
          <w:highlight w:val="none"/>
        </w:rPr>
        <w:tab/>
      </w:r>
      <w:r>
        <w:rPr>
          <w:rFonts w:hint="eastAsia" w:cs="宋体"/>
          <w:b/>
          <w:bCs/>
          <w:color w:val="auto"/>
          <w:sz w:val="28"/>
          <w:szCs w:val="28"/>
          <w:highlight w:val="none"/>
        </w:rPr>
        <w:t>一</w:t>
      </w:r>
      <w:r>
        <w:rPr>
          <w:b/>
          <w:bCs/>
          <w:color w:val="auto"/>
          <w:sz w:val="28"/>
          <w:szCs w:val="28"/>
          <w:highlight w:val="none"/>
        </w:rPr>
        <w:tab/>
      </w:r>
      <w:r>
        <w:rPr>
          <w:rFonts w:hint="eastAsia" w:cs="宋体"/>
          <w:b/>
          <w:bCs/>
          <w:color w:val="auto"/>
          <w:sz w:val="28"/>
          <w:szCs w:val="28"/>
          <w:highlight w:val="none"/>
        </w:rPr>
        <w:t>年</w:t>
      </w:r>
      <w:r>
        <w:rPr>
          <w:b/>
          <w:bCs/>
          <w:color w:val="auto"/>
          <w:sz w:val="28"/>
          <w:szCs w:val="28"/>
          <w:highlight w:val="none"/>
        </w:rPr>
        <w:tab/>
      </w:r>
      <w:r>
        <w:rPr>
          <w:rFonts w:hint="eastAsia" w:cs="宋体"/>
          <w:b/>
          <w:bCs/>
          <w:color w:val="auto"/>
          <w:sz w:val="28"/>
          <w:szCs w:val="28"/>
          <w:highlight w:val="none"/>
        </w:rPr>
        <w:t>月</w:t>
      </w:r>
      <w:r>
        <w:rPr>
          <w:b/>
          <w:bCs/>
          <w:color w:val="auto"/>
          <w:sz w:val="28"/>
          <w:szCs w:val="28"/>
          <w:highlight w:val="none"/>
        </w:rPr>
        <w:tab/>
      </w:r>
      <w:r>
        <w:rPr>
          <w:rFonts w:hint="eastAsia" w:cs="宋体"/>
          <w:b/>
          <w:bCs/>
          <w:color w:val="auto"/>
          <w:sz w:val="28"/>
          <w:szCs w:val="28"/>
          <w:highlight w:val="none"/>
        </w:rPr>
        <w:t>日</w:t>
      </w:r>
    </w:p>
    <w:p>
      <w:pPr>
        <w:pStyle w:val="2"/>
        <w:tabs>
          <w:tab w:val="left" w:pos="3595"/>
          <w:tab w:val="left" w:pos="4017"/>
          <w:tab w:val="left" w:pos="4579"/>
          <w:tab w:val="left" w:pos="5001"/>
          <w:tab w:val="left" w:pos="5563"/>
          <w:tab w:val="left" w:pos="6127"/>
        </w:tabs>
        <w:kinsoku w:val="0"/>
        <w:overflowPunct w:val="0"/>
        <w:spacing w:before="62"/>
        <w:ind w:left="3031"/>
        <w:rPr>
          <w:b/>
          <w:bCs/>
          <w:color w:val="auto"/>
          <w:sz w:val="28"/>
          <w:szCs w:val="28"/>
          <w:highlight w:val="none"/>
        </w:rPr>
        <w:sectPr>
          <w:footerReference r:id="rId4" w:type="default"/>
          <w:pgSz w:w="11910" w:h="16840"/>
          <w:pgMar w:top="1380" w:right="800" w:bottom="1160" w:left="1220" w:header="0" w:footer="975" w:gutter="0"/>
          <w:pgNumType w:fmt="decimal"/>
          <w:cols w:space="720" w:num="1"/>
        </w:sectPr>
      </w:pP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12</w:t>
      </w:r>
      <w:r>
        <w:rPr>
          <w:rFonts w:hint="eastAsia" w:ascii="宋体" w:hAnsi="宋体" w:cs="宋体"/>
          <w:b/>
          <w:bCs/>
          <w:color w:val="auto"/>
          <w:sz w:val="28"/>
          <w:szCs w:val="28"/>
          <w:highlight w:val="none"/>
        </w:rPr>
        <w:t>：</w:t>
      </w:r>
    </w:p>
    <w:p>
      <w:pPr>
        <w:widowControl/>
        <w:jc w:val="both"/>
        <w:rPr>
          <w:rFonts w:hint="eastAsia"/>
          <w:color w:val="auto"/>
          <w:highlight w:val="none"/>
          <w:lang w:eastAsia="zh-CN"/>
        </w:rPr>
      </w:pPr>
      <w:r>
        <w:rPr>
          <w:rFonts w:hint="eastAsia" w:ascii="宋体" w:hAnsi="宋体" w:cs="宋体"/>
          <w:b/>
          <w:bCs/>
          <w:color w:val="auto"/>
          <w:kern w:val="0"/>
          <w:sz w:val="28"/>
          <w:szCs w:val="28"/>
          <w:highlight w:val="none"/>
        </w:rPr>
        <w:t>外包装封面</w:t>
      </w:r>
      <w:r>
        <w:rPr>
          <w:rFonts w:hint="eastAsia" w:ascii="宋体" w:hAnsi="宋体" w:cs="宋体"/>
          <w:b/>
          <w:bCs/>
          <w:color w:val="auto"/>
          <w:kern w:val="0"/>
          <w:sz w:val="28"/>
          <w:szCs w:val="28"/>
          <w:highlight w:val="none"/>
          <w:lang w:eastAsia="zh-CN"/>
        </w:rPr>
        <w:t>：</w:t>
      </w:r>
    </w:p>
    <w:p>
      <w:pPr>
        <w:pStyle w:val="6"/>
        <w:jc w:val="center"/>
        <w:rPr>
          <w:rFonts w:hint="eastAsia"/>
          <w:color w:val="auto"/>
          <w:highlight w:val="none"/>
          <w:lang w:eastAsia="zh-CN"/>
        </w:rPr>
      </w:pPr>
      <w:r>
        <w:rPr>
          <w:rFonts w:hint="eastAsia"/>
          <w:color w:val="auto"/>
          <w:highlight w:val="none"/>
          <w:lang w:eastAsia="zh-CN"/>
        </w:rPr>
        <w:t>项目编号：</w:t>
      </w:r>
    </w:p>
    <w:p>
      <w:pPr>
        <w:pStyle w:val="6"/>
        <w:jc w:val="center"/>
        <w:rPr>
          <w:rFonts w:hint="eastAsia"/>
          <w:color w:val="auto"/>
          <w:highlight w:val="none"/>
          <w:lang w:eastAsia="zh-CN"/>
        </w:rPr>
      </w:pPr>
      <w:r>
        <w:rPr>
          <w:rFonts w:hint="eastAsia"/>
          <w:color w:val="auto"/>
          <w:highlight w:val="none"/>
          <w:lang w:eastAsia="zh-CN"/>
        </w:rPr>
        <w:t>项目名称：</w:t>
      </w:r>
    </w:p>
    <w:p>
      <w:pPr>
        <w:pStyle w:val="6"/>
        <w:rPr>
          <w:rFonts w:hint="eastAsia"/>
          <w:color w:val="auto"/>
          <w:highlight w:val="none"/>
          <w:lang w:eastAsia="zh-CN"/>
        </w:rPr>
      </w:pPr>
      <w:r>
        <w:rPr>
          <w:rFonts w:hint="eastAsia"/>
          <w:color w:val="auto"/>
          <w:highlight w:val="none"/>
          <w:lang w:eastAsia="zh-CN"/>
        </w:rPr>
        <w:t>内容：“资格证明文件”或“商务技术文件”或“报价文件”（请选择）</w:t>
      </w:r>
    </w:p>
    <w:p>
      <w:pPr>
        <w:pStyle w:val="6"/>
        <w:ind w:firstLine="1285" w:firstLineChars="400"/>
        <w:jc w:val="both"/>
        <w:rPr>
          <w:rFonts w:hint="eastAsia"/>
          <w:color w:val="auto"/>
          <w:highlight w:val="none"/>
          <w:lang w:eastAsia="zh-CN"/>
        </w:rPr>
      </w:pPr>
    </w:p>
    <w:p>
      <w:pPr>
        <w:pStyle w:val="6"/>
        <w:ind w:firstLine="1285" w:firstLineChars="400"/>
        <w:jc w:val="both"/>
        <w:rPr>
          <w:rFonts w:hint="eastAsia"/>
          <w:b/>
          <w:bCs/>
          <w:color w:val="auto"/>
          <w:sz w:val="28"/>
          <w:szCs w:val="28"/>
          <w:highlight w:val="none"/>
          <w:u w:val="single" w:color="000000"/>
          <w:lang w:val="en-US" w:eastAsia="zh-CN"/>
        </w:rPr>
      </w:pPr>
      <w:r>
        <w:rPr>
          <w:rFonts w:hint="eastAsia"/>
          <w:color w:val="auto"/>
          <w:highlight w:val="none"/>
          <w:lang w:eastAsia="zh-CN"/>
        </w:rPr>
        <w:t>投标人名称：</w:t>
      </w:r>
      <w:r>
        <w:rPr>
          <w:rFonts w:hint="eastAsia"/>
          <w:b/>
          <w:bCs/>
          <w:color w:val="auto"/>
          <w:sz w:val="28"/>
          <w:szCs w:val="28"/>
          <w:highlight w:val="none"/>
          <w:u w:val="single" w:color="000000"/>
          <w:lang w:val="en-US" w:eastAsia="zh-CN"/>
        </w:rPr>
        <w:t xml:space="preserve">                            </w:t>
      </w:r>
    </w:p>
    <w:p>
      <w:pPr>
        <w:pStyle w:val="6"/>
        <w:ind w:left="321" w:hanging="281" w:hangingChars="100"/>
        <w:jc w:val="center"/>
        <w:rPr>
          <w:rFonts w:hint="eastAsia"/>
          <w:b/>
          <w:bCs/>
          <w:color w:val="auto"/>
          <w:sz w:val="28"/>
          <w:szCs w:val="28"/>
          <w:highlight w:val="none"/>
          <w:u w:val="none" w:color="auto"/>
          <w:lang w:val="en-US" w:eastAsia="zh-CN"/>
        </w:rPr>
      </w:pPr>
    </w:p>
    <w:p>
      <w:pPr>
        <w:pStyle w:val="6"/>
        <w:jc w:val="center"/>
        <w:rPr>
          <w:rFonts w:hint="eastAsia"/>
          <w:b/>
          <w:bCs/>
          <w:color w:val="auto"/>
          <w:sz w:val="28"/>
          <w:szCs w:val="28"/>
          <w:highlight w:val="none"/>
          <w:u w:val="none" w:color="auto"/>
          <w:lang w:val="en-US" w:eastAsia="zh-CN"/>
        </w:rPr>
      </w:pPr>
      <w:r>
        <w:rPr>
          <w:rFonts w:hint="eastAsia"/>
          <w:b/>
          <w:bCs/>
          <w:color w:val="auto"/>
          <w:sz w:val="28"/>
          <w:szCs w:val="28"/>
          <w:highlight w:val="none"/>
          <w:u w:val="none" w:color="auto"/>
          <w:lang w:val="en-US" w:eastAsia="zh-CN"/>
        </w:rPr>
        <w:t>开标室启封</w:t>
      </w:r>
    </w:p>
    <w:p>
      <w:pPr>
        <w:pStyle w:val="6"/>
        <w:ind w:left="321" w:hanging="281" w:hangingChars="100"/>
        <w:rPr>
          <w:rFonts w:hint="eastAsia"/>
          <w:b/>
          <w:bCs/>
          <w:color w:val="auto"/>
          <w:sz w:val="28"/>
          <w:szCs w:val="28"/>
          <w:highlight w:val="none"/>
          <w:u w:val="none" w:color="auto"/>
          <w:lang w:val="en-US" w:eastAsia="zh-CN"/>
        </w:rPr>
      </w:pPr>
      <w:r>
        <w:rPr>
          <w:rFonts w:hint="eastAsia"/>
          <w:b/>
          <w:bCs/>
          <w:color w:val="auto"/>
          <w:sz w:val="28"/>
          <w:szCs w:val="28"/>
          <w:highlight w:val="none"/>
          <w:u w:val="none" w:color="auto"/>
          <w:lang w:val="en-US" w:eastAsia="zh-CN"/>
        </w:rPr>
        <w:t xml:space="preserve">提交地点：三门县环境有限公司四楼会议室   </w:t>
      </w:r>
    </w:p>
    <w:p>
      <w:pPr>
        <w:rPr>
          <w:color w:val="auto"/>
          <w:highlight w:val="none"/>
        </w:rPr>
      </w:pPr>
    </w:p>
    <w:sectPr>
      <w:footerReference r:id="rId5" w:type="default"/>
      <w:pgSz w:w="11906" w:h="16838"/>
      <w:pgMar w:top="1383" w:right="1247" w:bottom="1383"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ucida Sans">
    <w:panose1 w:val="020B0602030504020204"/>
    <w:charset w:val="00"/>
    <w:family w:val="swiss"/>
    <w:pitch w:val="default"/>
    <w:sig w:usb0="00000003" w:usb1="00000000" w:usb2="00000000" w:usb3="00000000" w:csb0="20000001" w:csb1="00000000"/>
  </w:font>
  <w:font w:name="华文行楷">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HTM+EBAAC5AwAADgAAAGRycy9lMm9Eb2MueG1srVPBbtswDL0P2D8I&#10;ui92PXT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qXEcoMDP/38cfr15/T7&#10;O6mS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aEdMz4QEAALkDAAAOAAAA&#10;AAAAAAEAIAAAAB4BAABkcnMvZTJvRG9jLnhtbFBLBQYAAAAABgAGAFkBAABx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8"/>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V1m8/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6RM9nQeKqy691gX+/eux6WZ8oDJpLqXwaQ36iF4j+Yez+aKPhKePiqX15dXlHC8Ki/L5fIqoRRP&#10;H/sA8U44Q1JQ04Czy5ayw0eIQ+lUknpZd6u0zvPT9q8EYqZMkZgPDFMU+20/ytm65ohqOhx7TS1u&#10;OSX6g0VX04ZMQZiC7RTsfVC7FqmVmRf4d/uIJDK31GGAHRvjvLK6cbfSQvx5zlVP/9P6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FdZvPzgEAAJcDAAAOAAAAAAAAAAEAIAAAAB8BAABkcnMv&#10;ZTJvRG9jLnhtbFBLBQYAAAAABgAGAFkBAABf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36</w:t>
                    </w:r>
                    <w:r>
                      <w:fldChar w:fldCharType="end"/>
                    </w:r>
                  </w:p>
                </w:txbxContent>
              </v:textbox>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81171"/>
    <w:multiLevelType w:val="singleLevel"/>
    <w:tmpl w:val="A2B81171"/>
    <w:lvl w:ilvl="0" w:tentative="0">
      <w:start w:val="2"/>
      <w:numFmt w:val="chineseCounting"/>
      <w:suff w:val="nothing"/>
      <w:lvlText w:val="%1、"/>
      <w:lvlJc w:val="left"/>
      <w:rPr>
        <w:rFonts w:hint="eastAsia"/>
      </w:rPr>
    </w:lvl>
  </w:abstractNum>
  <w:abstractNum w:abstractNumId="1">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B0B164F4"/>
    <w:multiLevelType w:val="singleLevel"/>
    <w:tmpl w:val="B0B164F4"/>
    <w:lvl w:ilvl="0" w:tentative="0">
      <w:start w:val="1"/>
      <w:numFmt w:val="chineseCounting"/>
      <w:suff w:val="nothing"/>
      <w:lvlText w:val="%1、"/>
      <w:lvlJc w:val="left"/>
      <w:pPr>
        <w:ind w:left="0" w:firstLine="420"/>
      </w:pPr>
      <w:rPr>
        <w:rFonts w:hint="eastAsia"/>
      </w:rPr>
    </w:lvl>
  </w:abstractNum>
  <w:abstractNum w:abstractNumId="4">
    <w:nsid w:val="C8A3F0D0"/>
    <w:multiLevelType w:val="singleLevel"/>
    <w:tmpl w:val="C8A3F0D0"/>
    <w:lvl w:ilvl="0" w:tentative="0">
      <w:start w:val="2"/>
      <w:numFmt w:val="chineseCounting"/>
      <w:suff w:val="nothing"/>
      <w:lvlText w:val="（%1）"/>
      <w:lvlJc w:val="left"/>
      <w:pPr>
        <w:ind w:left="140"/>
      </w:pPr>
      <w:rPr>
        <w:rFonts w:hint="eastAsia"/>
      </w:rPr>
    </w:lvl>
  </w:abstractNum>
  <w:abstractNum w:abstractNumId="5">
    <w:nsid w:val="DD5CDEA6"/>
    <w:multiLevelType w:val="singleLevel"/>
    <w:tmpl w:val="DD5CDEA6"/>
    <w:lvl w:ilvl="0" w:tentative="0">
      <w:start w:val="1"/>
      <w:numFmt w:val="decimal"/>
      <w:suff w:val="nothing"/>
      <w:lvlText w:val="%1、"/>
      <w:lvlJc w:val="left"/>
    </w:lvl>
  </w:abstractNum>
  <w:abstractNum w:abstractNumId="6">
    <w:nsid w:val="EB86057B"/>
    <w:multiLevelType w:val="singleLevel"/>
    <w:tmpl w:val="EB86057B"/>
    <w:lvl w:ilvl="0" w:tentative="0">
      <w:start w:val="1"/>
      <w:numFmt w:val="chineseCounting"/>
      <w:suff w:val="nothing"/>
      <w:lvlText w:val="（%1）"/>
      <w:lvlJc w:val="left"/>
      <w:rPr>
        <w:rFonts w:hint="eastAsia"/>
      </w:rPr>
    </w:lvl>
  </w:abstractNum>
  <w:abstractNum w:abstractNumId="7">
    <w:nsid w:val="121A34DD"/>
    <w:multiLevelType w:val="multilevel"/>
    <w:tmpl w:val="121A34DD"/>
    <w:lvl w:ilvl="0" w:tentative="0">
      <w:start w:val="1"/>
      <w:numFmt w:val="chineseCountingThousand"/>
      <w:pStyle w:val="4"/>
      <w:lvlText w:val="%1、"/>
      <w:lvlJc w:val="left"/>
      <w:pPr>
        <w:tabs>
          <w:tab w:val="left" w:pos="792"/>
        </w:tabs>
        <w:ind w:left="144" w:hanging="144"/>
      </w:pPr>
      <w:rPr>
        <w:rFonts w:hint="eastAsia"/>
        <w:b/>
        <w:bCs/>
        <w:i w:val="0"/>
        <w:iCs w:val="0"/>
        <w:sz w:val="28"/>
        <w:szCs w:val="28"/>
      </w:rPr>
    </w:lvl>
    <w:lvl w:ilvl="1" w:tentative="0">
      <w:start w:val="1"/>
      <w:numFmt w:val="decimal"/>
      <w:pStyle w:val="72"/>
      <w:isLgl/>
      <w:lvlText w:val="%1.%2"/>
      <w:lvlJc w:val="left"/>
      <w:pPr>
        <w:tabs>
          <w:tab w:val="left" w:pos="576"/>
        </w:tabs>
        <w:ind w:left="576" w:hanging="576"/>
      </w:pPr>
      <w:rPr>
        <w:rFonts w:hint="eastAsia" w:eastAsia="宋体"/>
        <w:b/>
        <w:bCs/>
        <w:i w:val="0"/>
        <w:iCs w:val="0"/>
        <w:sz w:val="28"/>
        <w:szCs w:val="28"/>
      </w:rPr>
    </w:lvl>
    <w:lvl w:ilvl="2" w:tentative="0">
      <w:start w:val="1"/>
      <w:numFmt w:val="decimal"/>
      <w:isLgl/>
      <w:lvlText w:val="%1.%2.%3"/>
      <w:lvlJc w:val="left"/>
      <w:pPr>
        <w:tabs>
          <w:tab w:val="left" w:pos="720"/>
        </w:tabs>
        <w:ind w:left="720" w:hanging="720"/>
      </w:pPr>
      <w:rPr>
        <w:rFonts w:hint="eastAsia" w:eastAsia="宋体"/>
        <w:b/>
        <w:bCs/>
        <w:i w:val="0"/>
        <w:iCs w:val="0"/>
        <w:sz w:val="24"/>
        <w:szCs w:val="24"/>
      </w:rPr>
    </w:lvl>
    <w:lvl w:ilvl="3" w:tentative="0">
      <w:start w:val="1"/>
      <w:numFmt w:val="decimal"/>
      <w:pStyle w:val="73"/>
      <w:isLgl/>
      <w:lvlText w:val="%4."/>
      <w:lvlJc w:val="left"/>
      <w:pPr>
        <w:tabs>
          <w:tab w:val="left" w:pos="0"/>
        </w:tabs>
      </w:pPr>
      <w:rPr>
        <w:rFonts w:hint="eastAsia" w:eastAsia="宋体"/>
        <w:b/>
        <w:bCs/>
        <w:i w:val="0"/>
        <w:iCs w:val="0"/>
        <w:sz w:val="24"/>
        <w:szCs w:val="24"/>
      </w:rPr>
    </w:lvl>
    <w:lvl w:ilvl="4" w:tentative="0">
      <w:start w:val="1"/>
      <w:numFmt w:val="decimal"/>
      <w:isLgl/>
      <w:lvlText w:val="（%5）"/>
      <w:lvlJc w:val="left"/>
      <w:pPr>
        <w:tabs>
          <w:tab w:val="left" w:pos="0"/>
        </w:tabs>
      </w:pPr>
      <w:rPr>
        <w:rFonts w:hint="eastAsia"/>
      </w:rPr>
    </w:lvl>
    <w:lvl w:ilvl="5" w:tentative="0">
      <w:start w:val="1"/>
      <w:numFmt w:val="upperLetter"/>
      <w:lvlText w:val="%6."/>
      <w:lvlJc w:val="left"/>
      <w:pPr>
        <w:tabs>
          <w:tab w:val="left" w:pos="0"/>
        </w:tabs>
      </w:pPr>
      <w:rPr>
        <w:rFonts w:hint="eastAsia"/>
      </w:rPr>
    </w:lvl>
    <w:lvl w:ilvl="6" w:tentative="0">
      <w:start w:val="1"/>
      <w:numFmt w:val="bullet"/>
      <w:lvlText w:val=""/>
      <w:lvlJc w:val="left"/>
      <w:pPr>
        <w:tabs>
          <w:tab w:val="left" w:pos="0"/>
        </w:tabs>
      </w:pPr>
      <w:rPr>
        <w:rFonts w:hint="default" w:ascii="Symbol" w:hAnsi="Symbol" w:cs="Symbol"/>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8A777E8"/>
    <w:multiLevelType w:val="multilevel"/>
    <w:tmpl w:val="18A777E8"/>
    <w:lvl w:ilvl="0" w:tentative="0">
      <w:start w:val="1"/>
      <w:numFmt w:val="decimal"/>
      <w:pStyle w:val="81"/>
      <w:suff w:val="nothing"/>
      <w:lvlText w:val="%1."/>
      <w:lvlJc w:val="left"/>
      <w:rPr>
        <w:rFonts w:hint="eastAsia"/>
        <w:b/>
        <w:bCs/>
        <w:i w:val="0"/>
        <w:iCs w:val="0"/>
        <w:sz w:val="32"/>
        <w:szCs w:val="32"/>
      </w:rPr>
    </w:lvl>
    <w:lvl w:ilvl="1" w:tentative="0">
      <w:start w:val="1"/>
      <w:numFmt w:val="decimal"/>
      <w:pStyle w:val="80"/>
      <w:suff w:val="nothing"/>
      <w:lvlText w:val="%1.%2."/>
      <w:lvlJc w:val="left"/>
      <w:rPr>
        <w:rFonts w:hint="eastAsia"/>
        <w:b/>
        <w:bCs/>
        <w:i w:val="0"/>
        <w:iCs w:val="0"/>
        <w:sz w:val="28"/>
        <w:szCs w:val="28"/>
      </w:rPr>
    </w:lvl>
    <w:lvl w:ilvl="2" w:tentative="0">
      <w:start w:val="1"/>
      <w:numFmt w:val="decimal"/>
      <w:pStyle w:val="79"/>
      <w:suff w:val="nothing"/>
      <w:lvlText w:val="%1.%2.%3."/>
      <w:lvlJc w:val="left"/>
      <w:rPr>
        <w:rFonts w:hint="eastAsia"/>
        <w:b/>
        <w:bCs/>
        <w:i w:val="0"/>
        <w:iCs w:val="0"/>
        <w:sz w:val="24"/>
        <w:szCs w:val="24"/>
      </w:rPr>
    </w:lvl>
    <w:lvl w:ilvl="3" w:tentative="0">
      <w:start w:val="1"/>
      <w:numFmt w:val="decimal"/>
      <w:pStyle w:val="78"/>
      <w:suff w:val="nothing"/>
      <w:lvlText w:val="%1.%2.%3.%4."/>
      <w:lvlJc w:val="left"/>
      <w:rPr>
        <w:rFonts w:hint="eastAsia"/>
        <w:b/>
        <w:bCs/>
        <w:i w:val="0"/>
        <w:iCs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3AE6BE34"/>
    <w:multiLevelType w:val="singleLevel"/>
    <w:tmpl w:val="3AE6BE34"/>
    <w:lvl w:ilvl="0" w:tentative="0">
      <w:start w:val="1"/>
      <w:numFmt w:val="decimal"/>
      <w:suff w:val="nothing"/>
      <w:lvlText w:val="%1、"/>
      <w:lvlJc w:val="left"/>
    </w:lvl>
  </w:abstractNum>
  <w:abstractNum w:abstractNumId="10">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1">
    <w:nsid w:val="5752DFC0"/>
    <w:multiLevelType w:val="singleLevel"/>
    <w:tmpl w:val="5752DFC0"/>
    <w:lvl w:ilvl="0" w:tentative="0">
      <w:start w:val="1"/>
      <w:numFmt w:val="chineseCounting"/>
      <w:suff w:val="space"/>
      <w:lvlText w:val="第%1章"/>
      <w:lvlJc w:val="left"/>
      <w:rPr>
        <w:rFonts w:hint="eastAsia"/>
      </w:rPr>
    </w:lvl>
  </w:abstractNum>
  <w:abstractNum w:abstractNumId="12">
    <w:nsid w:val="680CE9C7"/>
    <w:multiLevelType w:val="singleLevel"/>
    <w:tmpl w:val="680CE9C7"/>
    <w:lvl w:ilvl="0" w:tentative="0">
      <w:start w:val="1"/>
      <w:numFmt w:val="decimal"/>
      <w:suff w:val="nothing"/>
      <w:lvlText w:val="%1、"/>
      <w:lvlJc w:val="left"/>
    </w:lvl>
  </w:abstractNum>
  <w:abstractNum w:abstractNumId="13">
    <w:nsid w:val="705E1DDF"/>
    <w:multiLevelType w:val="multilevel"/>
    <w:tmpl w:val="705E1DDF"/>
    <w:lvl w:ilvl="0" w:tentative="0">
      <w:start w:val="1"/>
      <w:numFmt w:val="chineseCountingThousand"/>
      <w:pStyle w:val="82"/>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7"/>
  </w:num>
  <w:num w:numId="2">
    <w:abstractNumId w:val="1"/>
  </w:num>
  <w:num w:numId="3">
    <w:abstractNumId w:val="8"/>
  </w:num>
  <w:num w:numId="4">
    <w:abstractNumId w:val="13"/>
  </w:num>
  <w:num w:numId="5">
    <w:abstractNumId w:val="10"/>
  </w:num>
  <w:num w:numId="6">
    <w:abstractNumId w:val="11"/>
  </w:num>
  <w:num w:numId="7">
    <w:abstractNumId w:val="3"/>
  </w:num>
  <w:num w:numId="8">
    <w:abstractNumId w:val="6"/>
  </w:num>
  <w:num w:numId="9">
    <w:abstractNumId w:val="2"/>
  </w:num>
  <w:num w:numId="10">
    <w:abstractNumId w:val="4"/>
  </w:num>
  <w:num w:numId="11">
    <w:abstractNumId w:val="12"/>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F8"/>
    <w:rsid w:val="00001F59"/>
    <w:rsid w:val="00002C8F"/>
    <w:rsid w:val="00004EBC"/>
    <w:rsid w:val="00007236"/>
    <w:rsid w:val="00011102"/>
    <w:rsid w:val="00013AB4"/>
    <w:rsid w:val="00013FC4"/>
    <w:rsid w:val="00017CFA"/>
    <w:rsid w:val="00020A0D"/>
    <w:rsid w:val="00026E6D"/>
    <w:rsid w:val="00026F9B"/>
    <w:rsid w:val="00027AA6"/>
    <w:rsid w:val="000305E3"/>
    <w:rsid w:val="0003251B"/>
    <w:rsid w:val="00044A1C"/>
    <w:rsid w:val="000474CF"/>
    <w:rsid w:val="00054513"/>
    <w:rsid w:val="000558A0"/>
    <w:rsid w:val="00055E49"/>
    <w:rsid w:val="00057BC2"/>
    <w:rsid w:val="00060B1F"/>
    <w:rsid w:val="00061E79"/>
    <w:rsid w:val="00070140"/>
    <w:rsid w:val="00070405"/>
    <w:rsid w:val="00080459"/>
    <w:rsid w:val="00083B34"/>
    <w:rsid w:val="000906D6"/>
    <w:rsid w:val="0009693A"/>
    <w:rsid w:val="0009793C"/>
    <w:rsid w:val="000A1AE8"/>
    <w:rsid w:val="000A2AB9"/>
    <w:rsid w:val="000B2A5E"/>
    <w:rsid w:val="000B2B8F"/>
    <w:rsid w:val="000B7AB8"/>
    <w:rsid w:val="000C119D"/>
    <w:rsid w:val="000C43DE"/>
    <w:rsid w:val="000C62F5"/>
    <w:rsid w:val="000D0E94"/>
    <w:rsid w:val="000D12B0"/>
    <w:rsid w:val="000D2827"/>
    <w:rsid w:val="000E0A04"/>
    <w:rsid w:val="000E2720"/>
    <w:rsid w:val="000E3125"/>
    <w:rsid w:val="000E5E41"/>
    <w:rsid w:val="000F0759"/>
    <w:rsid w:val="000F1694"/>
    <w:rsid w:val="000F17C9"/>
    <w:rsid w:val="000F209B"/>
    <w:rsid w:val="000F2C46"/>
    <w:rsid w:val="000F37B9"/>
    <w:rsid w:val="000F63FE"/>
    <w:rsid w:val="000F7943"/>
    <w:rsid w:val="00100271"/>
    <w:rsid w:val="001007A3"/>
    <w:rsid w:val="00100FFB"/>
    <w:rsid w:val="00101E35"/>
    <w:rsid w:val="001050CE"/>
    <w:rsid w:val="001101CB"/>
    <w:rsid w:val="00113ABC"/>
    <w:rsid w:val="00113FF1"/>
    <w:rsid w:val="00124011"/>
    <w:rsid w:val="0013249C"/>
    <w:rsid w:val="00134AE4"/>
    <w:rsid w:val="00135BD9"/>
    <w:rsid w:val="00140CEB"/>
    <w:rsid w:val="00141E4E"/>
    <w:rsid w:val="00144F8B"/>
    <w:rsid w:val="00152B0A"/>
    <w:rsid w:val="00153832"/>
    <w:rsid w:val="001568DF"/>
    <w:rsid w:val="00160518"/>
    <w:rsid w:val="001634D0"/>
    <w:rsid w:val="00164D3A"/>
    <w:rsid w:val="0016511A"/>
    <w:rsid w:val="00167C9F"/>
    <w:rsid w:val="001726E0"/>
    <w:rsid w:val="00173050"/>
    <w:rsid w:val="001732EB"/>
    <w:rsid w:val="00184E21"/>
    <w:rsid w:val="00190560"/>
    <w:rsid w:val="00194351"/>
    <w:rsid w:val="00197C54"/>
    <w:rsid w:val="001A1D9D"/>
    <w:rsid w:val="001A68A2"/>
    <w:rsid w:val="001A7625"/>
    <w:rsid w:val="001B21E9"/>
    <w:rsid w:val="001B532E"/>
    <w:rsid w:val="001B6958"/>
    <w:rsid w:val="001C239F"/>
    <w:rsid w:val="001C34D4"/>
    <w:rsid w:val="001C39A1"/>
    <w:rsid w:val="001C3EFD"/>
    <w:rsid w:val="001C5C38"/>
    <w:rsid w:val="001D0E49"/>
    <w:rsid w:val="001D424D"/>
    <w:rsid w:val="001D44C2"/>
    <w:rsid w:val="001D490F"/>
    <w:rsid w:val="001E088E"/>
    <w:rsid w:val="001E1894"/>
    <w:rsid w:val="001E2DAC"/>
    <w:rsid w:val="001F0E9A"/>
    <w:rsid w:val="001F1B3F"/>
    <w:rsid w:val="00204247"/>
    <w:rsid w:val="00210AD0"/>
    <w:rsid w:val="00211F70"/>
    <w:rsid w:val="0021280B"/>
    <w:rsid w:val="0021500E"/>
    <w:rsid w:val="00216345"/>
    <w:rsid w:val="00223B5F"/>
    <w:rsid w:val="00227C55"/>
    <w:rsid w:val="0023089C"/>
    <w:rsid w:val="002507B3"/>
    <w:rsid w:val="002507B6"/>
    <w:rsid w:val="00273251"/>
    <w:rsid w:val="00273A51"/>
    <w:rsid w:val="002756E5"/>
    <w:rsid w:val="002759D5"/>
    <w:rsid w:val="00277C56"/>
    <w:rsid w:val="00287F7B"/>
    <w:rsid w:val="00290F06"/>
    <w:rsid w:val="00292A6E"/>
    <w:rsid w:val="002935D9"/>
    <w:rsid w:val="00294525"/>
    <w:rsid w:val="002A0FF2"/>
    <w:rsid w:val="002A20B1"/>
    <w:rsid w:val="002A337F"/>
    <w:rsid w:val="002A69F1"/>
    <w:rsid w:val="002A7B40"/>
    <w:rsid w:val="002B11AB"/>
    <w:rsid w:val="002B2E71"/>
    <w:rsid w:val="002B403E"/>
    <w:rsid w:val="002B4EDD"/>
    <w:rsid w:val="002C09B1"/>
    <w:rsid w:val="002D6BC9"/>
    <w:rsid w:val="002F0FA0"/>
    <w:rsid w:val="002F1D54"/>
    <w:rsid w:val="002F6A9C"/>
    <w:rsid w:val="002F757E"/>
    <w:rsid w:val="002F7D40"/>
    <w:rsid w:val="003073FA"/>
    <w:rsid w:val="003121E7"/>
    <w:rsid w:val="00313F51"/>
    <w:rsid w:val="003147D3"/>
    <w:rsid w:val="00323911"/>
    <w:rsid w:val="0032436F"/>
    <w:rsid w:val="00325AE2"/>
    <w:rsid w:val="003268B0"/>
    <w:rsid w:val="003271F0"/>
    <w:rsid w:val="00330AB6"/>
    <w:rsid w:val="00331E0A"/>
    <w:rsid w:val="00332A91"/>
    <w:rsid w:val="003340FA"/>
    <w:rsid w:val="00334889"/>
    <w:rsid w:val="003374F4"/>
    <w:rsid w:val="00337543"/>
    <w:rsid w:val="00340476"/>
    <w:rsid w:val="00345274"/>
    <w:rsid w:val="00345637"/>
    <w:rsid w:val="003479D6"/>
    <w:rsid w:val="00352630"/>
    <w:rsid w:val="00353386"/>
    <w:rsid w:val="00361335"/>
    <w:rsid w:val="00363AAB"/>
    <w:rsid w:val="00367EB5"/>
    <w:rsid w:val="003706FD"/>
    <w:rsid w:val="00370BBD"/>
    <w:rsid w:val="00372283"/>
    <w:rsid w:val="003742BF"/>
    <w:rsid w:val="00377DA4"/>
    <w:rsid w:val="00380E04"/>
    <w:rsid w:val="00384B24"/>
    <w:rsid w:val="003A4D58"/>
    <w:rsid w:val="003A5FA2"/>
    <w:rsid w:val="003A6F02"/>
    <w:rsid w:val="003B17A7"/>
    <w:rsid w:val="003B26CB"/>
    <w:rsid w:val="003B2DE3"/>
    <w:rsid w:val="003B2E6D"/>
    <w:rsid w:val="003B324B"/>
    <w:rsid w:val="003B52FC"/>
    <w:rsid w:val="003B5DDA"/>
    <w:rsid w:val="003C5CCE"/>
    <w:rsid w:val="003C62C2"/>
    <w:rsid w:val="003D1A0C"/>
    <w:rsid w:val="003D2A09"/>
    <w:rsid w:val="003D7049"/>
    <w:rsid w:val="003E43E4"/>
    <w:rsid w:val="003E4629"/>
    <w:rsid w:val="003E6014"/>
    <w:rsid w:val="003E6793"/>
    <w:rsid w:val="003F138E"/>
    <w:rsid w:val="003F63BD"/>
    <w:rsid w:val="003F6CB6"/>
    <w:rsid w:val="00401AE7"/>
    <w:rsid w:val="00403211"/>
    <w:rsid w:val="00403EB6"/>
    <w:rsid w:val="00406966"/>
    <w:rsid w:val="00412AFF"/>
    <w:rsid w:val="0041334E"/>
    <w:rsid w:val="00413C5F"/>
    <w:rsid w:val="00415168"/>
    <w:rsid w:val="00415E49"/>
    <w:rsid w:val="004172B8"/>
    <w:rsid w:val="00417393"/>
    <w:rsid w:val="004237A6"/>
    <w:rsid w:val="004256D6"/>
    <w:rsid w:val="00433FB4"/>
    <w:rsid w:val="00436CCD"/>
    <w:rsid w:val="0044200B"/>
    <w:rsid w:val="00447086"/>
    <w:rsid w:val="0044718C"/>
    <w:rsid w:val="00450FB6"/>
    <w:rsid w:val="00454AE7"/>
    <w:rsid w:val="00461A0C"/>
    <w:rsid w:val="00461DF2"/>
    <w:rsid w:val="00461F8F"/>
    <w:rsid w:val="00464C76"/>
    <w:rsid w:val="00465AE1"/>
    <w:rsid w:val="00473CAF"/>
    <w:rsid w:val="004747DF"/>
    <w:rsid w:val="00476784"/>
    <w:rsid w:val="00480C1B"/>
    <w:rsid w:val="00483020"/>
    <w:rsid w:val="00491E58"/>
    <w:rsid w:val="00493474"/>
    <w:rsid w:val="00494E1D"/>
    <w:rsid w:val="00495409"/>
    <w:rsid w:val="004A50F8"/>
    <w:rsid w:val="004A577C"/>
    <w:rsid w:val="004B169F"/>
    <w:rsid w:val="004B4943"/>
    <w:rsid w:val="004B6BC4"/>
    <w:rsid w:val="004C0312"/>
    <w:rsid w:val="004C1204"/>
    <w:rsid w:val="004C1782"/>
    <w:rsid w:val="004C268A"/>
    <w:rsid w:val="004C6F2D"/>
    <w:rsid w:val="004D0C5E"/>
    <w:rsid w:val="004D1AF7"/>
    <w:rsid w:val="004D2D9F"/>
    <w:rsid w:val="004D611B"/>
    <w:rsid w:val="004E6FD0"/>
    <w:rsid w:val="004E79A7"/>
    <w:rsid w:val="004F0241"/>
    <w:rsid w:val="004F1196"/>
    <w:rsid w:val="004F2BBB"/>
    <w:rsid w:val="004F4DA5"/>
    <w:rsid w:val="004F55EF"/>
    <w:rsid w:val="00500839"/>
    <w:rsid w:val="00501718"/>
    <w:rsid w:val="00502221"/>
    <w:rsid w:val="00504B53"/>
    <w:rsid w:val="00507F22"/>
    <w:rsid w:val="00510158"/>
    <w:rsid w:val="00511FB7"/>
    <w:rsid w:val="0051566B"/>
    <w:rsid w:val="00525815"/>
    <w:rsid w:val="00525FBC"/>
    <w:rsid w:val="005275A2"/>
    <w:rsid w:val="0054197A"/>
    <w:rsid w:val="00543BCE"/>
    <w:rsid w:val="00544890"/>
    <w:rsid w:val="00545F8A"/>
    <w:rsid w:val="00551C57"/>
    <w:rsid w:val="005529DF"/>
    <w:rsid w:val="00553EC1"/>
    <w:rsid w:val="0056601C"/>
    <w:rsid w:val="0057308C"/>
    <w:rsid w:val="00574AA0"/>
    <w:rsid w:val="0057563B"/>
    <w:rsid w:val="005836C7"/>
    <w:rsid w:val="00585BAD"/>
    <w:rsid w:val="005907C1"/>
    <w:rsid w:val="00597E5A"/>
    <w:rsid w:val="005B6218"/>
    <w:rsid w:val="005C05A4"/>
    <w:rsid w:val="005D4496"/>
    <w:rsid w:val="005D5BFB"/>
    <w:rsid w:val="005D7720"/>
    <w:rsid w:val="005D77E2"/>
    <w:rsid w:val="005D7F56"/>
    <w:rsid w:val="005E7EBE"/>
    <w:rsid w:val="005F2B16"/>
    <w:rsid w:val="005F3CAF"/>
    <w:rsid w:val="005F3F7E"/>
    <w:rsid w:val="0060217F"/>
    <w:rsid w:val="0060220A"/>
    <w:rsid w:val="00606AF7"/>
    <w:rsid w:val="0060758C"/>
    <w:rsid w:val="00611E55"/>
    <w:rsid w:val="0061258E"/>
    <w:rsid w:val="006238CA"/>
    <w:rsid w:val="00624C3E"/>
    <w:rsid w:val="00633AD1"/>
    <w:rsid w:val="00635E08"/>
    <w:rsid w:val="006401B8"/>
    <w:rsid w:val="00641FFF"/>
    <w:rsid w:val="00644E10"/>
    <w:rsid w:val="006462D1"/>
    <w:rsid w:val="006467A4"/>
    <w:rsid w:val="00654925"/>
    <w:rsid w:val="00654957"/>
    <w:rsid w:val="00655E4A"/>
    <w:rsid w:val="006638EF"/>
    <w:rsid w:val="006651E9"/>
    <w:rsid w:val="00672619"/>
    <w:rsid w:val="0067527B"/>
    <w:rsid w:val="00675357"/>
    <w:rsid w:val="0067585F"/>
    <w:rsid w:val="006765F5"/>
    <w:rsid w:val="006766D4"/>
    <w:rsid w:val="00677992"/>
    <w:rsid w:val="00680478"/>
    <w:rsid w:val="00680FEB"/>
    <w:rsid w:val="00686261"/>
    <w:rsid w:val="006965A7"/>
    <w:rsid w:val="006A27BB"/>
    <w:rsid w:val="006A417A"/>
    <w:rsid w:val="006B175E"/>
    <w:rsid w:val="006B371C"/>
    <w:rsid w:val="006B5341"/>
    <w:rsid w:val="006C4EFB"/>
    <w:rsid w:val="006D30A5"/>
    <w:rsid w:val="006D4EEA"/>
    <w:rsid w:val="006D7C6B"/>
    <w:rsid w:val="006E03A2"/>
    <w:rsid w:val="006E1E8F"/>
    <w:rsid w:val="006E3D70"/>
    <w:rsid w:val="006E4EAA"/>
    <w:rsid w:val="006F3A9E"/>
    <w:rsid w:val="006F6DA0"/>
    <w:rsid w:val="006F78B2"/>
    <w:rsid w:val="007003C9"/>
    <w:rsid w:val="00700480"/>
    <w:rsid w:val="00705FD1"/>
    <w:rsid w:val="00707467"/>
    <w:rsid w:val="007115C5"/>
    <w:rsid w:val="00711EDA"/>
    <w:rsid w:val="00714E33"/>
    <w:rsid w:val="00723EC7"/>
    <w:rsid w:val="00724399"/>
    <w:rsid w:val="00724D66"/>
    <w:rsid w:val="00726101"/>
    <w:rsid w:val="00727F74"/>
    <w:rsid w:val="00731B97"/>
    <w:rsid w:val="00732BFF"/>
    <w:rsid w:val="00734BA9"/>
    <w:rsid w:val="007358ED"/>
    <w:rsid w:val="007370BF"/>
    <w:rsid w:val="007374FC"/>
    <w:rsid w:val="007419A8"/>
    <w:rsid w:val="00747464"/>
    <w:rsid w:val="00747902"/>
    <w:rsid w:val="007536BE"/>
    <w:rsid w:val="007547EE"/>
    <w:rsid w:val="00754BB3"/>
    <w:rsid w:val="00756EDC"/>
    <w:rsid w:val="007619DE"/>
    <w:rsid w:val="00761CA5"/>
    <w:rsid w:val="00770566"/>
    <w:rsid w:val="0077320B"/>
    <w:rsid w:val="0077488E"/>
    <w:rsid w:val="00780987"/>
    <w:rsid w:val="00782478"/>
    <w:rsid w:val="00787339"/>
    <w:rsid w:val="00790122"/>
    <w:rsid w:val="00794A11"/>
    <w:rsid w:val="00794F53"/>
    <w:rsid w:val="00795CCE"/>
    <w:rsid w:val="007A0943"/>
    <w:rsid w:val="007A1267"/>
    <w:rsid w:val="007A369E"/>
    <w:rsid w:val="007A7A3D"/>
    <w:rsid w:val="007B2385"/>
    <w:rsid w:val="007B7F1E"/>
    <w:rsid w:val="007C0273"/>
    <w:rsid w:val="007C08EF"/>
    <w:rsid w:val="007C6F2E"/>
    <w:rsid w:val="007C7F27"/>
    <w:rsid w:val="007D121A"/>
    <w:rsid w:val="007D14FC"/>
    <w:rsid w:val="007E0AAE"/>
    <w:rsid w:val="007E0C8D"/>
    <w:rsid w:val="007E2582"/>
    <w:rsid w:val="007E6EFD"/>
    <w:rsid w:val="007E7115"/>
    <w:rsid w:val="007F236E"/>
    <w:rsid w:val="007F436E"/>
    <w:rsid w:val="007F47A9"/>
    <w:rsid w:val="007F4FB3"/>
    <w:rsid w:val="00803058"/>
    <w:rsid w:val="00804077"/>
    <w:rsid w:val="00804B2A"/>
    <w:rsid w:val="00815677"/>
    <w:rsid w:val="008157B3"/>
    <w:rsid w:val="00823266"/>
    <w:rsid w:val="00823BC8"/>
    <w:rsid w:val="00823C39"/>
    <w:rsid w:val="008243A5"/>
    <w:rsid w:val="00827E31"/>
    <w:rsid w:val="00844D18"/>
    <w:rsid w:val="00857D32"/>
    <w:rsid w:val="008606D8"/>
    <w:rsid w:val="00863BD8"/>
    <w:rsid w:val="00864A3A"/>
    <w:rsid w:val="00877207"/>
    <w:rsid w:val="0088789B"/>
    <w:rsid w:val="0089153D"/>
    <w:rsid w:val="00895CDE"/>
    <w:rsid w:val="0089727F"/>
    <w:rsid w:val="008A460F"/>
    <w:rsid w:val="008B0791"/>
    <w:rsid w:val="008B15C5"/>
    <w:rsid w:val="008B29EB"/>
    <w:rsid w:val="008B2CF9"/>
    <w:rsid w:val="008C013E"/>
    <w:rsid w:val="008C2B5A"/>
    <w:rsid w:val="008C39FD"/>
    <w:rsid w:val="008C6B10"/>
    <w:rsid w:val="008D175B"/>
    <w:rsid w:val="008D1A3A"/>
    <w:rsid w:val="008D39D3"/>
    <w:rsid w:val="008D5066"/>
    <w:rsid w:val="008E43F7"/>
    <w:rsid w:val="008F160D"/>
    <w:rsid w:val="008F19B4"/>
    <w:rsid w:val="008F1E33"/>
    <w:rsid w:val="008F22A6"/>
    <w:rsid w:val="008F3F95"/>
    <w:rsid w:val="008F4C9A"/>
    <w:rsid w:val="008F6C2E"/>
    <w:rsid w:val="008F7A22"/>
    <w:rsid w:val="00903540"/>
    <w:rsid w:val="00904C37"/>
    <w:rsid w:val="00905B87"/>
    <w:rsid w:val="00910AD9"/>
    <w:rsid w:val="00911250"/>
    <w:rsid w:val="00914C86"/>
    <w:rsid w:val="009175FB"/>
    <w:rsid w:val="0092108B"/>
    <w:rsid w:val="00925BC3"/>
    <w:rsid w:val="00932C04"/>
    <w:rsid w:val="00935C3D"/>
    <w:rsid w:val="009426AA"/>
    <w:rsid w:val="0094300A"/>
    <w:rsid w:val="00944BC9"/>
    <w:rsid w:val="00945823"/>
    <w:rsid w:val="00947992"/>
    <w:rsid w:val="00952AD5"/>
    <w:rsid w:val="00954C33"/>
    <w:rsid w:val="00955B16"/>
    <w:rsid w:val="0095797E"/>
    <w:rsid w:val="009604EA"/>
    <w:rsid w:val="0096282E"/>
    <w:rsid w:val="00962ADB"/>
    <w:rsid w:val="00965872"/>
    <w:rsid w:val="00965A24"/>
    <w:rsid w:val="009718F6"/>
    <w:rsid w:val="00976E49"/>
    <w:rsid w:val="00983729"/>
    <w:rsid w:val="009928F4"/>
    <w:rsid w:val="009930AE"/>
    <w:rsid w:val="00995CF7"/>
    <w:rsid w:val="00997259"/>
    <w:rsid w:val="00997752"/>
    <w:rsid w:val="009A19D9"/>
    <w:rsid w:val="009A1A7D"/>
    <w:rsid w:val="009A2AFB"/>
    <w:rsid w:val="009A4722"/>
    <w:rsid w:val="009A4A5D"/>
    <w:rsid w:val="009B2386"/>
    <w:rsid w:val="009B3CC9"/>
    <w:rsid w:val="009B62A1"/>
    <w:rsid w:val="009C2821"/>
    <w:rsid w:val="009C4FF4"/>
    <w:rsid w:val="009C72D9"/>
    <w:rsid w:val="009C7EB2"/>
    <w:rsid w:val="009D233E"/>
    <w:rsid w:val="009D796C"/>
    <w:rsid w:val="009D7A06"/>
    <w:rsid w:val="009E5786"/>
    <w:rsid w:val="009F1A2D"/>
    <w:rsid w:val="009F7B96"/>
    <w:rsid w:val="00A007A9"/>
    <w:rsid w:val="00A01449"/>
    <w:rsid w:val="00A05535"/>
    <w:rsid w:val="00A173E9"/>
    <w:rsid w:val="00A250D8"/>
    <w:rsid w:val="00A32CBD"/>
    <w:rsid w:val="00A41B89"/>
    <w:rsid w:val="00A42322"/>
    <w:rsid w:val="00A45158"/>
    <w:rsid w:val="00A55201"/>
    <w:rsid w:val="00A62820"/>
    <w:rsid w:val="00A64452"/>
    <w:rsid w:val="00A72558"/>
    <w:rsid w:val="00A736C2"/>
    <w:rsid w:val="00A73ACD"/>
    <w:rsid w:val="00A76DF1"/>
    <w:rsid w:val="00A852FE"/>
    <w:rsid w:val="00A86348"/>
    <w:rsid w:val="00A907B3"/>
    <w:rsid w:val="00A927DE"/>
    <w:rsid w:val="00A943CA"/>
    <w:rsid w:val="00A94B91"/>
    <w:rsid w:val="00A95BE9"/>
    <w:rsid w:val="00AB6B49"/>
    <w:rsid w:val="00AD270B"/>
    <w:rsid w:val="00AD3BD0"/>
    <w:rsid w:val="00AD5D61"/>
    <w:rsid w:val="00AD6E97"/>
    <w:rsid w:val="00AD74A1"/>
    <w:rsid w:val="00AF115C"/>
    <w:rsid w:val="00AF5407"/>
    <w:rsid w:val="00AF579C"/>
    <w:rsid w:val="00B00B7E"/>
    <w:rsid w:val="00B00C62"/>
    <w:rsid w:val="00B11B4F"/>
    <w:rsid w:val="00B144E8"/>
    <w:rsid w:val="00B20612"/>
    <w:rsid w:val="00B21C9D"/>
    <w:rsid w:val="00B2296A"/>
    <w:rsid w:val="00B27B56"/>
    <w:rsid w:val="00B34777"/>
    <w:rsid w:val="00B356E6"/>
    <w:rsid w:val="00B4159E"/>
    <w:rsid w:val="00B41E9F"/>
    <w:rsid w:val="00B4264F"/>
    <w:rsid w:val="00B446DF"/>
    <w:rsid w:val="00B46A4C"/>
    <w:rsid w:val="00B54F3C"/>
    <w:rsid w:val="00B642E1"/>
    <w:rsid w:val="00B64AAE"/>
    <w:rsid w:val="00B73D82"/>
    <w:rsid w:val="00B762F0"/>
    <w:rsid w:val="00B87960"/>
    <w:rsid w:val="00B904CA"/>
    <w:rsid w:val="00B905DC"/>
    <w:rsid w:val="00B9076D"/>
    <w:rsid w:val="00B910EC"/>
    <w:rsid w:val="00B92F65"/>
    <w:rsid w:val="00B9558D"/>
    <w:rsid w:val="00B97E5C"/>
    <w:rsid w:val="00BA1397"/>
    <w:rsid w:val="00BB0FAD"/>
    <w:rsid w:val="00BB124D"/>
    <w:rsid w:val="00BB2B05"/>
    <w:rsid w:val="00BB3EA2"/>
    <w:rsid w:val="00BB725E"/>
    <w:rsid w:val="00BC1A82"/>
    <w:rsid w:val="00BD09EB"/>
    <w:rsid w:val="00BD4047"/>
    <w:rsid w:val="00BE118D"/>
    <w:rsid w:val="00BE6E98"/>
    <w:rsid w:val="00BF28B4"/>
    <w:rsid w:val="00BF3AAC"/>
    <w:rsid w:val="00BF6FA5"/>
    <w:rsid w:val="00C0045E"/>
    <w:rsid w:val="00C00F8D"/>
    <w:rsid w:val="00C01553"/>
    <w:rsid w:val="00C01C86"/>
    <w:rsid w:val="00C01FBF"/>
    <w:rsid w:val="00C05193"/>
    <w:rsid w:val="00C10D66"/>
    <w:rsid w:val="00C14914"/>
    <w:rsid w:val="00C269BF"/>
    <w:rsid w:val="00C32E40"/>
    <w:rsid w:val="00C352AF"/>
    <w:rsid w:val="00C370F7"/>
    <w:rsid w:val="00C40CFB"/>
    <w:rsid w:val="00C43FE0"/>
    <w:rsid w:val="00C5353B"/>
    <w:rsid w:val="00C555B6"/>
    <w:rsid w:val="00C61B72"/>
    <w:rsid w:val="00C61D6D"/>
    <w:rsid w:val="00C63AE8"/>
    <w:rsid w:val="00C70A61"/>
    <w:rsid w:val="00C728C6"/>
    <w:rsid w:val="00C72D3E"/>
    <w:rsid w:val="00C73CC0"/>
    <w:rsid w:val="00C83971"/>
    <w:rsid w:val="00C872A0"/>
    <w:rsid w:val="00C929F0"/>
    <w:rsid w:val="00CA3324"/>
    <w:rsid w:val="00CA6104"/>
    <w:rsid w:val="00CB1097"/>
    <w:rsid w:val="00CB701D"/>
    <w:rsid w:val="00CC10F2"/>
    <w:rsid w:val="00CC19F0"/>
    <w:rsid w:val="00CC3F3A"/>
    <w:rsid w:val="00CC5E1A"/>
    <w:rsid w:val="00CC62CC"/>
    <w:rsid w:val="00CC76F1"/>
    <w:rsid w:val="00CD2938"/>
    <w:rsid w:val="00CE2562"/>
    <w:rsid w:val="00CE27FD"/>
    <w:rsid w:val="00CE4ABB"/>
    <w:rsid w:val="00CF21E8"/>
    <w:rsid w:val="00CF570E"/>
    <w:rsid w:val="00D1560C"/>
    <w:rsid w:val="00D1714F"/>
    <w:rsid w:val="00D22BEE"/>
    <w:rsid w:val="00D247AB"/>
    <w:rsid w:val="00D3133D"/>
    <w:rsid w:val="00D377FF"/>
    <w:rsid w:val="00D432DB"/>
    <w:rsid w:val="00D4450D"/>
    <w:rsid w:val="00D456F2"/>
    <w:rsid w:val="00D510F6"/>
    <w:rsid w:val="00D52498"/>
    <w:rsid w:val="00D556A4"/>
    <w:rsid w:val="00D612EA"/>
    <w:rsid w:val="00D66A44"/>
    <w:rsid w:val="00D723AA"/>
    <w:rsid w:val="00D73EBD"/>
    <w:rsid w:val="00D75289"/>
    <w:rsid w:val="00D761D9"/>
    <w:rsid w:val="00D76ED5"/>
    <w:rsid w:val="00D84233"/>
    <w:rsid w:val="00D84F03"/>
    <w:rsid w:val="00DA0FF5"/>
    <w:rsid w:val="00DA442F"/>
    <w:rsid w:val="00DA5462"/>
    <w:rsid w:val="00DB20AE"/>
    <w:rsid w:val="00DB27C4"/>
    <w:rsid w:val="00DB49A5"/>
    <w:rsid w:val="00DB5D46"/>
    <w:rsid w:val="00DC1FAA"/>
    <w:rsid w:val="00DD4386"/>
    <w:rsid w:val="00DE26F8"/>
    <w:rsid w:val="00DE5E20"/>
    <w:rsid w:val="00DF3AFA"/>
    <w:rsid w:val="00DF79B5"/>
    <w:rsid w:val="00E0199F"/>
    <w:rsid w:val="00E01CAA"/>
    <w:rsid w:val="00E049F3"/>
    <w:rsid w:val="00E04D36"/>
    <w:rsid w:val="00E05C4F"/>
    <w:rsid w:val="00E0610F"/>
    <w:rsid w:val="00E13C4A"/>
    <w:rsid w:val="00E13CC2"/>
    <w:rsid w:val="00E25DC9"/>
    <w:rsid w:val="00E2602B"/>
    <w:rsid w:val="00E30F98"/>
    <w:rsid w:val="00E312B2"/>
    <w:rsid w:val="00E32A37"/>
    <w:rsid w:val="00E37C75"/>
    <w:rsid w:val="00E41284"/>
    <w:rsid w:val="00E4237F"/>
    <w:rsid w:val="00E53704"/>
    <w:rsid w:val="00E54099"/>
    <w:rsid w:val="00E56235"/>
    <w:rsid w:val="00E63EF8"/>
    <w:rsid w:val="00E65F7B"/>
    <w:rsid w:val="00E70200"/>
    <w:rsid w:val="00E807AC"/>
    <w:rsid w:val="00E830B4"/>
    <w:rsid w:val="00E86590"/>
    <w:rsid w:val="00E9363D"/>
    <w:rsid w:val="00EA00E7"/>
    <w:rsid w:val="00EA7A50"/>
    <w:rsid w:val="00EB2119"/>
    <w:rsid w:val="00EB65AC"/>
    <w:rsid w:val="00EB6CA2"/>
    <w:rsid w:val="00EB73D3"/>
    <w:rsid w:val="00EC70DB"/>
    <w:rsid w:val="00ED4E1B"/>
    <w:rsid w:val="00ED508A"/>
    <w:rsid w:val="00EE014C"/>
    <w:rsid w:val="00EE10F8"/>
    <w:rsid w:val="00EE730C"/>
    <w:rsid w:val="00EF1E8D"/>
    <w:rsid w:val="00EF4DB8"/>
    <w:rsid w:val="00EF4E79"/>
    <w:rsid w:val="00F00814"/>
    <w:rsid w:val="00F018CF"/>
    <w:rsid w:val="00F03820"/>
    <w:rsid w:val="00F06D07"/>
    <w:rsid w:val="00F070D8"/>
    <w:rsid w:val="00F10822"/>
    <w:rsid w:val="00F13592"/>
    <w:rsid w:val="00F14CC5"/>
    <w:rsid w:val="00F15666"/>
    <w:rsid w:val="00F17D27"/>
    <w:rsid w:val="00F20A74"/>
    <w:rsid w:val="00F24A28"/>
    <w:rsid w:val="00F25766"/>
    <w:rsid w:val="00F26191"/>
    <w:rsid w:val="00F26284"/>
    <w:rsid w:val="00F26338"/>
    <w:rsid w:val="00F3128F"/>
    <w:rsid w:val="00F32DF1"/>
    <w:rsid w:val="00F36B3F"/>
    <w:rsid w:val="00F37942"/>
    <w:rsid w:val="00F41307"/>
    <w:rsid w:val="00F41BA5"/>
    <w:rsid w:val="00F43AA5"/>
    <w:rsid w:val="00F44E4F"/>
    <w:rsid w:val="00F45854"/>
    <w:rsid w:val="00F4688D"/>
    <w:rsid w:val="00F46B9E"/>
    <w:rsid w:val="00F475D8"/>
    <w:rsid w:val="00F50A22"/>
    <w:rsid w:val="00F50DAC"/>
    <w:rsid w:val="00F527AF"/>
    <w:rsid w:val="00F549BE"/>
    <w:rsid w:val="00F577FF"/>
    <w:rsid w:val="00F607BD"/>
    <w:rsid w:val="00F658CE"/>
    <w:rsid w:val="00F66723"/>
    <w:rsid w:val="00F6717E"/>
    <w:rsid w:val="00F70207"/>
    <w:rsid w:val="00F71F35"/>
    <w:rsid w:val="00F73672"/>
    <w:rsid w:val="00F73DD8"/>
    <w:rsid w:val="00F740D9"/>
    <w:rsid w:val="00F76A14"/>
    <w:rsid w:val="00F80C5E"/>
    <w:rsid w:val="00F86201"/>
    <w:rsid w:val="00FA00A8"/>
    <w:rsid w:val="00FA3269"/>
    <w:rsid w:val="00FA33B4"/>
    <w:rsid w:val="00FA3BF6"/>
    <w:rsid w:val="00FA680C"/>
    <w:rsid w:val="00FB4D77"/>
    <w:rsid w:val="00FD1815"/>
    <w:rsid w:val="00FD1A4B"/>
    <w:rsid w:val="00FD263D"/>
    <w:rsid w:val="00FD2E82"/>
    <w:rsid w:val="00FD31E5"/>
    <w:rsid w:val="00FD52C6"/>
    <w:rsid w:val="00FD5A52"/>
    <w:rsid w:val="00FD7B85"/>
    <w:rsid w:val="00FE3EFE"/>
    <w:rsid w:val="00FE5876"/>
    <w:rsid w:val="00FE7F46"/>
    <w:rsid w:val="00FF0AA7"/>
    <w:rsid w:val="00FF120A"/>
    <w:rsid w:val="00FF1F0D"/>
    <w:rsid w:val="00FF64ED"/>
    <w:rsid w:val="01613486"/>
    <w:rsid w:val="018368B0"/>
    <w:rsid w:val="031B2CFA"/>
    <w:rsid w:val="04F17BA3"/>
    <w:rsid w:val="053B7270"/>
    <w:rsid w:val="05561C59"/>
    <w:rsid w:val="057D52F1"/>
    <w:rsid w:val="05DE40CE"/>
    <w:rsid w:val="05FB5EC9"/>
    <w:rsid w:val="065D7DF4"/>
    <w:rsid w:val="06CB785C"/>
    <w:rsid w:val="0743620D"/>
    <w:rsid w:val="075E5766"/>
    <w:rsid w:val="07A8587E"/>
    <w:rsid w:val="084A2F90"/>
    <w:rsid w:val="088D63F8"/>
    <w:rsid w:val="0D9203A4"/>
    <w:rsid w:val="0E2D36C0"/>
    <w:rsid w:val="0EAF31D5"/>
    <w:rsid w:val="124243D7"/>
    <w:rsid w:val="124D3E2D"/>
    <w:rsid w:val="12574D9E"/>
    <w:rsid w:val="12845B4A"/>
    <w:rsid w:val="15436910"/>
    <w:rsid w:val="157145E9"/>
    <w:rsid w:val="163F0454"/>
    <w:rsid w:val="179B408D"/>
    <w:rsid w:val="19864856"/>
    <w:rsid w:val="198E6032"/>
    <w:rsid w:val="1A695734"/>
    <w:rsid w:val="1A987834"/>
    <w:rsid w:val="1ABF1051"/>
    <w:rsid w:val="1B990198"/>
    <w:rsid w:val="1DB237E1"/>
    <w:rsid w:val="1DE82806"/>
    <w:rsid w:val="1E2B3889"/>
    <w:rsid w:val="1F5D43FE"/>
    <w:rsid w:val="1FC467B9"/>
    <w:rsid w:val="21EC449C"/>
    <w:rsid w:val="23E921F5"/>
    <w:rsid w:val="241536B1"/>
    <w:rsid w:val="26A7483D"/>
    <w:rsid w:val="27C82647"/>
    <w:rsid w:val="28A43A33"/>
    <w:rsid w:val="29BE39CC"/>
    <w:rsid w:val="29D2775E"/>
    <w:rsid w:val="2A851024"/>
    <w:rsid w:val="2AD5734B"/>
    <w:rsid w:val="2B680589"/>
    <w:rsid w:val="2BB04107"/>
    <w:rsid w:val="2BC925CF"/>
    <w:rsid w:val="2D67321F"/>
    <w:rsid w:val="2E7761B5"/>
    <w:rsid w:val="2EC538DA"/>
    <w:rsid w:val="30C95DCA"/>
    <w:rsid w:val="30FD220B"/>
    <w:rsid w:val="31C90EFE"/>
    <w:rsid w:val="322A0BC3"/>
    <w:rsid w:val="32C54537"/>
    <w:rsid w:val="32D845C7"/>
    <w:rsid w:val="34A45FFF"/>
    <w:rsid w:val="356D3B2B"/>
    <w:rsid w:val="36700320"/>
    <w:rsid w:val="39FA2C17"/>
    <w:rsid w:val="3A79783B"/>
    <w:rsid w:val="3B1F29A3"/>
    <w:rsid w:val="3B7C027B"/>
    <w:rsid w:val="3B867A72"/>
    <w:rsid w:val="3BA11289"/>
    <w:rsid w:val="3C2A3043"/>
    <w:rsid w:val="3DB03948"/>
    <w:rsid w:val="3E1856AC"/>
    <w:rsid w:val="411A1EDA"/>
    <w:rsid w:val="418E3E09"/>
    <w:rsid w:val="41EE62DC"/>
    <w:rsid w:val="44754ED4"/>
    <w:rsid w:val="44EF64BD"/>
    <w:rsid w:val="45FF40A7"/>
    <w:rsid w:val="47BB3E95"/>
    <w:rsid w:val="48DE5738"/>
    <w:rsid w:val="4A210806"/>
    <w:rsid w:val="4B326604"/>
    <w:rsid w:val="4B713A64"/>
    <w:rsid w:val="4B8C262F"/>
    <w:rsid w:val="4CA677A7"/>
    <w:rsid w:val="4D123F27"/>
    <w:rsid w:val="4D805D0C"/>
    <w:rsid w:val="4DB16E75"/>
    <w:rsid w:val="4EDD11FA"/>
    <w:rsid w:val="4F9A2DCC"/>
    <w:rsid w:val="5061767F"/>
    <w:rsid w:val="51D2194D"/>
    <w:rsid w:val="522E6FD3"/>
    <w:rsid w:val="534D28E8"/>
    <w:rsid w:val="537E2CD1"/>
    <w:rsid w:val="538A20B1"/>
    <w:rsid w:val="54825A32"/>
    <w:rsid w:val="54833FAA"/>
    <w:rsid w:val="557B344F"/>
    <w:rsid w:val="55FD0D3F"/>
    <w:rsid w:val="56774C4C"/>
    <w:rsid w:val="57D91226"/>
    <w:rsid w:val="58C616FE"/>
    <w:rsid w:val="5A17277D"/>
    <w:rsid w:val="5A7248CF"/>
    <w:rsid w:val="5AAF3C92"/>
    <w:rsid w:val="5ACF2AFC"/>
    <w:rsid w:val="5B623DFE"/>
    <w:rsid w:val="5B8F458C"/>
    <w:rsid w:val="5C9B4240"/>
    <w:rsid w:val="5E7D442E"/>
    <w:rsid w:val="5E834439"/>
    <w:rsid w:val="5F9861A7"/>
    <w:rsid w:val="5FE73C63"/>
    <w:rsid w:val="602869C1"/>
    <w:rsid w:val="6037233F"/>
    <w:rsid w:val="62C3669A"/>
    <w:rsid w:val="63907163"/>
    <w:rsid w:val="63BE3362"/>
    <w:rsid w:val="646A6D3F"/>
    <w:rsid w:val="65AD1A31"/>
    <w:rsid w:val="65E65E46"/>
    <w:rsid w:val="672A5E41"/>
    <w:rsid w:val="67A103CA"/>
    <w:rsid w:val="68013516"/>
    <w:rsid w:val="68A36FD1"/>
    <w:rsid w:val="69387835"/>
    <w:rsid w:val="69ED0D5E"/>
    <w:rsid w:val="6A045D82"/>
    <w:rsid w:val="6A6F7F9B"/>
    <w:rsid w:val="6A9D3930"/>
    <w:rsid w:val="6AB80DE5"/>
    <w:rsid w:val="6B2E479D"/>
    <w:rsid w:val="6B781740"/>
    <w:rsid w:val="6BD31C22"/>
    <w:rsid w:val="6D4971A0"/>
    <w:rsid w:val="6D672FB5"/>
    <w:rsid w:val="6DFA378F"/>
    <w:rsid w:val="700A6DBE"/>
    <w:rsid w:val="705F1359"/>
    <w:rsid w:val="71055DAA"/>
    <w:rsid w:val="71102C20"/>
    <w:rsid w:val="71D717BF"/>
    <w:rsid w:val="73E74078"/>
    <w:rsid w:val="73F15DF6"/>
    <w:rsid w:val="76A63EF2"/>
    <w:rsid w:val="77793B57"/>
    <w:rsid w:val="7854724C"/>
    <w:rsid w:val="78BC51C3"/>
    <w:rsid w:val="7D2C37DE"/>
    <w:rsid w:val="7D980C20"/>
    <w:rsid w:val="7E6B4D9E"/>
    <w:rsid w:val="7F6923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nhideWhenUsed="0" w:uiPriority="99" w:semiHidden="0" w:name="heading 7"/>
    <w:lsdException w:qFormat="1" w:unhideWhenUsed="0" w:uiPriority="1" w:semiHidden="0"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3"/>
    <w:qFormat/>
    <w:uiPriority w:val="99"/>
    <w:pPr>
      <w:keepNext/>
      <w:keepLines/>
      <w:pageBreakBefore/>
      <w:numPr>
        <w:ilvl w:val="0"/>
        <w:numId w:val="1"/>
      </w:numPr>
      <w:spacing w:before="340" w:after="330" w:line="578" w:lineRule="auto"/>
      <w:jc w:val="center"/>
      <w:outlineLvl w:val="0"/>
    </w:pPr>
    <w:rPr>
      <w:b/>
      <w:bCs/>
      <w:kern w:val="44"/>
      <w:sz w:val="44"/>
      <w:szCs w:val="44"/>
    </w:rPr>
  </w:style>
  <w:style w:type="paragraph" w:styleId="5">
    <w:name w:val="heading 2"/>
    <w:basedOn w:val="1"/>
    <w:next w:val="1"/>
    <w:link w:val="34"/>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92"/>
    <w:qFormat/>
    <w:uiPriority w:val="99"/>
    <w:pPr>
      <w:keepNext/>
      <w:keepLines/>
      <w:spacing w:before="260" w:after="260" w:line="416" w:lineRule="auto"/>
      <w:outlineLvl w:val="2"/>
    </w:pPr>
    <w:rPr>
      <w:b/>
      <w:bCs/>
      <w:sz w:val="32"/>
      <w:szCs w:val="32"/>
    </w:rPr>
  </w:style>
  <w:style w:type="paragraph" w:styleId="7">
    <w:name w:val="heading 4"/>
    <w:basedOn w:val="1"/>
    <w:next w:val="1"/>
    <w:link w:val="36"/>
    <w:qFormat/>
    <w:uiPriority w:val="99"/>
    <w:pPr>
      <w:keepNext/>
      <w:keepLines/>
      <w:spacing w:before="280" w:after="290" w:line="376" w:lineRule="auto"/>
      <w:outlineLvl w:val="3"/>
    </w:pPr>
    <w:rPr>
      <w:rFonts w:ascii="Cambria" w:hAnsi="Cambria" w:cs="Cambria"/>
      <w:b/>
      <w:bCs/>
      <w:sz w:val="28"/>
      <w:szCs w:val="28"/>
    </w:rPr>
  </w:style>
  <w:style w:type="paragraph" w:styleId="8">
    <w:name w:val="heading 7"/>
    <w:basedOn w:val="1"/>
    <w:next w:val="1"/>
    <w:link w:val="37"/>
    <w:qFormat/>
    <w:uiPriority w:val="99"/>
    <w:pPr>
      <w:keepNext/>
      <w:keepLines/>
      <w:spacing w:before="240" w:after="64" w:line="320" w:lineRule="auto"/>
      <w:outlineLvl w:val="6"/>
    </w:pPr>
    <w:rPr>
      <w:b/>
      <w:bCs/>
      <w:sz w:val="24"/>
      <w:szCs w:val="24"/>
    </w:rPr>
  </w:style>
  <w:style w:type="paragraph" w:styleId="9">
    <w:name w:val="heading 8"/>
    <w:basedOn w:val="1"/>
    <w:next w:val="1"/>
    <w:qFormat/>
    <w:locked/>
    <w:uiPriority w:val="1"/>
    <w:pPr>
      <w:ind w:left="404"/>
      <w:outlineLvl w:val="7"/>
    </w:pPr>
    <w:rPr>
      <w:b/>
      <w:bCs/>
      <w:sz w:val="24"/>
      <w:szCs w:val="24"/>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8"/>
    <w:qFormat/>
    <w:uiPriority w:val="99"/>
    <w:pPr>
      <w:spacing w:line="360" w:lineRule="exact"/>
    </w:pPr>
    <w:rPr>
      <w:sz w:val="24"/>
      <w:szCs w:val="24"/>
    </w:rPr>
  </w:style>
  <w:style w:type="paragraph" w:styleId="3">
    <w:name w:val="Body Text First Indent"/>
    <w:basedOn w:val="2"/>
    <w:link w:val="39"/>
    <w:qFormat/>
    <w:uiPriority w:val="99"/>
    <w:pPr>
      <w:spacing w:after="120" w:line="240" w:lineRule="auto"/>
      <w:ind w:firstLine="420" w:firstLineChars="100"/>
    </w:pPr>
    <w:rPr>
      <w:rFonts w:ascii="Calibri" w:hAnsi="Calibri" w:cs="Calibri"/>
      <w:sz w:val="21"/>
      <w:szCs w:val="21"/>
    </w:rPr>
  </w:style>
  <w:style w:type="paragraph" w:styleId="10">
    <w:name w:val="List Number"/>
    <w:basedOn w:val="1"/>
    <w:qFormat/>
    <w:uiPriority w:val="99"/>
    <w:pPr>
      <w:numPr>
        <w:ilvl w:val="0"/>
        <w:numId w:val="2"/>
      </w:numPr>
    </w:pPr>
  </w:style>
  <w:style w:type="paragraph" w:styleId="11">
    <w:name w:val="Normal Indent"/>
    <w:basedOn w:val="1"/>
    <w:link w:val="69"/>
    <w:qFormat/>
    <w:uiPriority w:val="99"/>
    <w:pPr>
      <w:ind w:firstLine="420"/>
    </w:pPr>
    <w:rPr>
      <w:kern w:val="0"/>
      <w:sz w:val="20"/>
      <w:szCs w:val="20"/>
    </w:rPr>
  </w:style>
  <w:style w:type="paragraph" w:styleId="12">
    <w:name w:val="Document Map"/>
    <w:basedOn w:val="1"/>
    <w:link w:val="40"/>
    <w:semiHidden/>
    <w:qFormat/>
    <w:uiPriority w:val="99"/>
    <w:pPr>
      <w:shd w:val="clear" w:color="auto" w:fill="000080"/>
    </w:pPr>
    <w:rPr>
      <w:sz w:val="36"/>
      <w:szCs w:val="36"/>
    </w:rPr>
  </w:style>
  <w:style w:type="paragraph" w:styleId="13">
    <w:name w:val="annotation text"/>
    <w:basedOn w:val="1"/>
    <w:link w:val="41"/>
    <w:semiHidden/>
    <w:qFormat/>
    <w:uiPriority w:val="99"/>
    <w:pPr>
      <w:jc w:val="left"/>
    </w:pPr>
  </w:style>
  <w:style w:type="paragraph" w:styleId="14">
    <w:name w:val="Body Text Indent"/>
    <w:basedOn w:val="1"/>
    <w:link w:val="42"/>
    <w:qFormat/>
    <w:uiPriority w:val="99"/>
    <w:pPr>
      <w:spacing w:after="120"/>
      <w:ind w:left="420" w:leftChars="200"/>
    </w:pPr>
  </w:style>
  <w:style w:type="paragraph" w:styleId="15">
    <w:name w:val="Plain Text"/>
    <w:basedOn w:val="1"/>
    <w:next w:val="1"/>
    <w:link w:val="43"/>
    <w:qFormat/>
    <w:uiPriority w:val="99"/>
    <w:rPr>
      <w:rFonts w:ascii="宋体" w:hAnsi="Courier New" w:cs="宋体"/>
    </w:rPr>
  </w:style>
  <w:style w:type="paragraph" w:styleId="16">
    <w:name w:val="Date"/>
    <w:basedOn w:val="1"/>
    <w:next w:val="1"/>
    <w:link w:val="44"/>
    <w:qFormat/>
    <w:uiPriority w:val="99"/>
    <w:pPr>
      <w:ind w:left="2500" w:leftChars="2500"/>
    </w:pPr>
    <w:rPr>
      <w:rFonts w:ascii="Calibri" w:hAnsi="Calibri" w:cs="Calibri"/>
      <w:sz w:val="32"/>
      <w:szCs w:val="32"/>
    </w:rPr>
  </w:style>
  <w:style w:type="paragraph" w:styleId="17">
    <w:name w:val="Balloon Text"/>
    <w:basedOn w:val="1"/>
    <w:link w:val="45"/>
    <w:semiHidden/>
    <w:qFormat/>
    <w:uiPriority w:val="99"/>
    <w:rPr>
      <w:sz w:val="18"/>
      <w:szCs w:val="18"/>
    </w:rPr>
  </w:style>
  <w:style w:type="paragraph" w:styleId="18">
    <w:name w:val="footer"/>
    <w:basedOn w:val="1"/>
    <w:link w:val="46"/>
    <w:qFormat/>
    <w:uiPriority w:val="99"/>
    <w:pPr>
      <w:tabs>
        <w:tab w:val="center" w:pos="4153"/>
        <w:tab w:val="right" w:pos="8306"/>
      </w:tabs>
      <w:snapToGrid w:val="0"/>
      <w:jc w:val="left"/>
    </w:pPr>
    <w:rPr>
      <w:sz w:val="18"/>
      <w:szCs w:val="18"/>
    </w:rPr>
  </w:style>
  <w:style w:type="paragraph" w:styleId="19">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48"/>
    <w:qFormat/>
    <w:uiPriority w:val="99"/>
    <w:pPr>
      <w:spacing w:after="120"/>
      <w:ind w:left="420" w:leftChars="200"/>
    </w:pPr>
    <w:rPr>
      <w:sz w:val="16"/>
      <w:szCs w:val="16"/>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3"/>
    <w:next w:val="13"/>
    <w:link w:val="49"/>
    <w:semiHidden/>
    <w:qFormat/>
    <w:uiPriority w:val="99"/>
    <w:rPr>
      <w:b/>
      <w:bCs/>
    </w:rPr>
  </w:style>
  <w:style w:type="paragraph" w:styleId="23">
    <w:name w:val="Body Text First Indent 2"/>
    <w:basedOn w:val="14"/>
    <w:link w:val="50"/>
    <w:qFormat/>
    <w:uiPriority w:val="99"/>
    <w:pPr>
      <w:ind w:hanging="200" w:hangingChars="200"/>
    </w:pPr>
  </w:style>
  <w:style w:type="table" w:styleId="25">
    <w:name w:val="Table Grid"/>
    <w:basedOn w:val="2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b/>
      <w:bCs/>
    </w:rPr>
  </w:style>
  <w:style w:type="character" w:styleId="28">
    <w:name w:val="page number"/>
    <w:basedOn w:val="26"/>
    <w:qFormat/>
    <w:locked/>
    <w:uiPriority w:val="0"/>
  </w:style>
  <w:style w:type="character" w:styleId="29">
    <w:name w:val="Hyperlink"/>
    <w:basedOn w:val="26"/>
    <w:qFormat/>
    <w:uiPriority w:val="99"/>
    <w:rPr>
      <w:color w:val="0000FF"/>
      <w:u w:val="single"/>
    </w:rPr>
  </w:style>
  <w:style w:type="character" w:styleId="30">
    <w:name w:val="annotation reference"/>
    <w:basedOn w:val="26"/>
    <w:semiHidden/>
    <w:qFormat/>
    <w:uiPriority w:val="99"/>
    <w:rPr>
      <w:sz w:val="21"/>
      <w:szCs w:val="21"/>
    </w:rPr>
  </w:style>
  <w:style w:type="paragraph" w:customStyle="1" w:styleId="31">
    <w:name w:val="BodyText1I2"/>
    <w:basedOn w:val="32"/>
    <w:qFormat/>
    <w:uiPriority w:val="0"/>
    <w:pPr>
      <w:spacing w:after="120" w:line="240" w:lineRule="auto"/>
      <w:ind w:left="420" w:leftChars="200" w:firstLine="420" w:firstLineChars="200"/>
      <w:jc w:val="both"/>
    </w:pPr>
    <w:rPr>
      <w:rFonts w:ascii="Calibri" w:hAnsi="Calibri" w:eastAsia="仿宋_GB2312"/>
      <w:kern w:val="0"/>
      <w:sz w:val="21"/>
      <w:szCs w:val="22"/>
      <w:lang w:bidi="ar-SA"/>
    </w:rPr>
  </w:style>
  <w:style w:type="paragraph" w:customStyle="1" w:styleId="32">
    <w:name w:val="BodyTextIndent"/>
    <w:basedOn w:val="1"/>
    <w:qFormat/>
    <w:uiPriority w:val="0"/>
    <w:pPr>
      <w:spacing w:line="500" w:lineRule="atLeast"/>
      <w:ind w:firstLine="210"/>
      <w:jc w:val="both"/>
    </w:pPr>
    <w:rPr>
      <w:rFonts w:ascii="仿宋_GB2312" w:eastAsia="仿宋_GB2312"/>
      <w:kern w:val="0"/>
      <w:sz w:val="24"/>
      <w:szCs w:val="20"/>
      <w:lang w:bidi="ar-SA"/>
    </w:rPr>
  </w:style>
  <w:style w:type="character" w:customStyle="1" w:styleId="33">
    <w:name w:val="Heading 1 Char"/>
    <w:basedOn w:val="26"/>
    <w:link w:val="4"/>
    <w:qFormat/>
    <w:locked/>
    <w:uiPriority w:val="99"/>
    <w:rPr>
      <w:b/>
      <w:bCs/>
      <w:kern w:val="44"/>
      <w:sz w:val="44"/>
      <w:szCs w:val="44"/>
    </w:rPr>
  </w:style>
  <w:style w:type="character" w:customStyle="1" w:styleId="34">
    <w:name w:val="Heading 2 Char"/>
    <w:basedOn w:val="26"/>
    <w:link w:val="5"/>
    <w:semiHidden/>
    <w:qFormat/>
    <w:locked/>
    <w:uiPriority w:val="99"/>
    <w:rPr>
      <w:rFonts w:ascii="Cambria" w:hAnsi="Cambria" w:eastAsia="宋体" w:cs="Cambria"/>
      <w:b/>
      <w:bCs/>
      <w:sz w:val="32"/>
      <w:szCs w:val="32"/>
    </w:rPr>
  </w:style>
  <w:style w:type="character" w:customStyle="1" w:styleId="35">
    <w:name w:val="Heading 3 Char"/>
    <w:basedOn w:val="26"/>
    <w:link w:val="6"/>
    <w:semiHidden/>
    <w:qFormat/>
    <w:locked/>
    <w:uiPriority w:val="99"/>
    <w:rPr>
      <w:rFonts w:ascii="Times New Roman" w:hAnsi="Times New Roman" w:eastAsia="宋体" w:cs="Times New Roman"/>
      <w:b/>
      <w:bCs/>
      <w:sz w:val="32"/>
      <w:szCs w:val="32"/>
    </w:rPr>
  </w:style>
  <w:style w:type="character" w:customStyle="1" w:styleId="36">
    <w:name w:val="Heading 4 Char"/>
    <w:basedOn w:val="26"/>
    <w:link w:val="7"/>
    <w:semiHidden/>
    <w:qFormat/>
    <w:locked/>
    <w:uiPriority w:val="99"/>
    <w:rPr>
      <w:rFonts w:ascii="Cambria" w:hAnsi="Cambria" w:eastAsia="宋体" w:cs="Cambria"/>
      <w:b/>
      <w:bCs/>
      <w:kern w:val="2"/>
      <w:sz w:val="28"/>
      <w:szCs w:val="28"/>
    </w:rPr>
  </w:style>
  <w:style w:type="character" w:customStyle="1" w:styleId="37">
    <w:name w:val="Heading 7 Char"/>
    <w:basedOn w:val="26"/>
    <w:link w:val="8"/>
    <w:qFormat/>
    <w:locked/>
    <w:uiPriority w:val="99"/>
    <w:rPr>
      <w:rFonts w:ascii="Times New Roman" w:hAnsi="Times New Roman" w:eastAsia="宋体" w:cs="Times New Roman"/>
      <w:b/>
      <w:bCs/>
      <w:sz w:val="24"/>
      <w:szCs w:val="24"/>
    </w:rPr>
  </w:style>
  <w:style w:type="character" w:customStyle="1" w:styleId="38">
    <w:name w:val="Body Text Char"/>
    <w:basedOn w:val="26"/>
    <w:link w:val="2"/>
    <w:qFormat/>
    <w:locked/>
    <w:uiPriority w:val="99"/>
    <w:rPr>
      <w:rFonts w:ascii="Times New Roman" w:hAnsi="Times New Roman" w:eastAsia="宋体" w:cs="Times New Roman"/>
      <w:sz w:val="24"/>
      <w:szCs w:val="24"/>
    </w:rPr>
  </w:style>
  <w:style w:type="character" w:customStyle="1" w:styleId="39">
    <w:name w:val="Body Text First Indent Char"/>
    <w:basedOn w:val="38"/>
    <w:link w:val="3"/>
    <w:semiHidden/>
    <w:qFormat/>
    <w:locked/>
    <w:uiPriority w:val="99"/>
    <w:rPr>
      <w:sz w:val="21"/>
      <w:szCs w:val="21"/>
    </w:rPr>
  </w:style>
  <w:style w:type="character" w:customStyle="1" w:styleId="40">
    <w:name w:val="Document Map Char"/>
    <w:basedOn w:val="26"/>
    <w:link w:val="12"/>
    <w:qFormat/>
    <w:locked/>
    <w:uiPriority w:val="99"/>
    <w:rPr>
      <w:rFonts w:ascii="Times New Roman" w:hAnsi="Times New Roman" w:eastAsia="宋体" w:cs="Times New Roman"/>
      <w:kern w:val="2"/>
      <w:sz w:val="24"/>
      <w:szCs w:val="24"/>
      <w:shd w:val="clear" w:color="auto" w:fill="000080"/>
    </w:rPr>
  </w:style>
  <w:style w:type="character" w:customStyle="1" w:styleId="41">
    <w:name w:val="Comment Text Char"/>
    <w:basedOn w:val="26"/>
    <w:link w:val="13"/>
    <w:qFormat/>
    <w:locked/>
    <w:uiPriority w:val="99"/>
    <w:rPr>
      <w:rFonts w:ascii="Times New Roman" w:hAnsi="Times New Roman" w:eastAsia="宋体" w:cs="Times New Roman"/>
      <w:sz w:val="24"/>
      <w:szCs w:val="24"/>
    </w:rPr>
  </w:style>
  <w:style w:type="character" w:customStyle="1" w:styleId="42">
    <w:name w:val="Body Text Indent Char"/>
    <w:basedOn w:val="26"/>
    <w:link w:val="14"/>
    <w:qFormat/>
    <w:locked/>
    <w:uiPriority w:val="99"/>
    <w:rPr>
      <w:rFonts w:ascii="Times New Roman" w:hAnsi="Times New Roman" w:eastAsia="宋体" w:cs="Times New Roman"/>
      <w:sz w:val="24"/>
      <w:szCs w:val="24"/>
    </w:rPr>
  </w:style>
  <w:style w:type="character" w:customStyle="1" w:styleId="43">
    <w:name w:val="Plain Text Char"/>
    <w:basedOn w:val="26"/>
    <w:link w:val="15"/>
    <w:qFormat/>
    <w:locked/>
    <w:uiPriority w:val="99"/>
    <w:rPr>
      <w:rFonts w:ascii="宋体" w:hAnsi="Courier New" w:eastAsia="宋体" w:cs="宋体"/>
      <w:sz w:val="24"/>
      <w:szCs w:val="24"/>
    </w:rPr>
  </w:style>
  <w:style w:type="character" w:customStyle="1" w:styleId="44">
    <w:name w:val="Date Char"/>
    <w:basedOn w:val="26"/>
    <w:link w:val="16"/>
    <w:qFormat/>
    <w:locked/>
    <w:uiPriority w:val="99"/>
    <w:rPr>
      <w:rFonts w:eastAsia="Times New Roman"/>
      <w:sz w:val="32"/>
      <w:szCs w:val="32"/>
    </w:rPr>
  </w:style>
  <w:style w:type="character" w:customStyle="1" w:styleId="45">
    <w:name w:val="Balloon Text Char"/>
    <w:basedOn w:val="26"/>
    <w:link w:val="17"/>
    <w:qFormat/>
    <w:locked/>
    <w:uiPriority w:val="99"/>
    <w:rPr>
      <w:rFonts w:ascii="Times New Roman" w:hAnsi="Times New Roman" w:eastAsia="宋体" w:cs="Times New Roman"/>
      <w:sz w:val="18"/>
      <w:szCs w:val="18"/>
    </w:rPr>
  </w:style>
  <w:style w:type="character" w:customStyle="1" w:styleId="46">
    <w:name w:val="Footer Char"/>
    <w:basedOn w:val="26"/>
    <w:link w:val="18"/>
    <w:semiHidden/>
    <w:qFormat/>
    <w:locked/>
    <w:uiPriority w:val="99"/>
    <w:rPr>
      <w:sz w:val="18"/>
      <w:szCs w:val="18"/>
    </w:rPr>
  </w:style>
  <w:style w:type="character" w:customStyle="1" w:styleId="47">
    <w:name w:val="Header Char"/>
    <w:basedOn w:val="26"/>
    <w:link w:val="19"/>
    <w:semiHidden/>
    <w:qFormat/>
    <w:locked/>
    <w:uiPriority w:val="99"/>
    <w:rPr>
      <w:sz w:val="18"/>
      <w:szCs w:val="18"/>
    </w:rPr>
  </w:style>
  <w:style w:type="character" w:customStyle="1" w:styleId="48">
    <w:name w:val="Body Text Indent 3 Char"/>
    <w:basedOn w:val="26"/>
    <w:link w:val="20"/>
    <w:qFormat/>
    <w:locked/>
    <w:uiPriority w:val="99"/>
    <w:rPr>
      <w:rFonts w:ascii="Times New Roman" w:hAnsi="Times New Roman" w:eastAsia="宋体" w:cs="Times New Roman"/>
      <w:kern w:val="2"/>
      <w:sz w:val="16"/>
      <w:szCs w:val="16"/>
    </w:rPr>
  </w:style>
  <w:style w:type="character" w:customStyle="1" w:styleId="49">
    <w:name w:val="Comment Subject Char"/>
    <w:basedOn w:val="41"/>
    <w:link w:val="22"/>
    <w:qFormat/>
    <w:locked/>
    <w:uiPriority w:val="99"/>
    <w:rPr>
      <w:b/>
      <w:bCs/>
    </w:rPr>
  </w:style>
  <w:style w:type="character" w:customStyle="1" w:styleId="50">
    <w:name w:val="Body Text First Indent 2 Char"/>
    <w:basedOn w:val="42"/>
    <w:link w:val="23"/>
    <w:semiHidden/>
    <w:qFormat/>
    <w:locked/>
    <w:uiPriority w:val="99"/>
    <w:rPr>
      <w:sz w:val="21"/>
      <w:szCs w:val="21"/>
    </w:rPr>
  </w:style>
  <w:style w:type="paragraph" w:customStyle="1" w:styleId="51">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2">
    <w:name w:val="List Paragraph"/>
    <w:basedOn w:val="1"/>
    <w:qFormat/>
    <w:uiPriority w:val="99"/>
    <w:pPr>
      <w:ind w:firstLine="420" w:firstLineChars="200"/>
    </w:pPr>
    <w:rPr>
      <w:rFonts w:ascii="Calibri" w:hAnsi="Calibri" w:cs="Calibri"/>
    </w:rPr>
  </w:style>
  <w:style w:type="paragraph" w:customStyle="1" w:styleId="53">
    <w:name w:val="无间隔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54">
    <w:name w:val="列出段落1"/>
    <w:basedOn w:val="1"/>
    <w:qFormat/>
    <w:uiPriority w:val="99"/>
    <w:pPr>
      <w:ind w:firstLine="420" w:firstLineChars="200"/>
    </w:pPr>
    <w:rPr>
      <w:rFonts w:ascii="Calibri" w:hAnsi="Calibri" w:cs="Calibri"/>
      <w:kern w:val="0"/>
    </w:rPr>
  </w:style>
  <w:style w:type="paragraph" w:customStyle="1" w:styleId="55">
    <w:name w:val="无间隔1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5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14"/>
    <w:qFormat/>
    <w:uiPriority w:val="99"/>
    <w:rPr>
      <w:rFonts w:ascii="Times New Roman" w:hAnsi="Times New Roman" w:eastAsia="宋体" w:cs="Times New Roman"/>
      <w:kern w:val="0"/>
      <w:sz w:val="21"/>
      <w:szCs w:val="21"/>
      <w:lang w:val="en-US" w:eastAsia="zh-CN" w:bidi="ar-SA"/>
    </w:rPr>
  </w:style>
  <w:style w:type="paragraph" w:customStyle="1" w:styleId="59">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纯文本_3"/>
    <w:basedOn w:val="61"/>
    <w:qFormat/>
    <w:uiPriority w:val="99"/>
    <w:pPr>
      <w:widowControl/>
      <w:jc w:val="left"/>
    </w:pPr>
    <w:rPr>
      <w:rFonts w:ascii="宋体" w:hAnsi="Courier New" w:cs="宋体"/>
    </w:rPr>
  </w:style>
  <w:style w:type="paragraph" w:customStyle="1" w:styleId="63">
    <w:name w:val="纯文本_0_1"/>
    <w:basedOn w:val="1"/>
    <w:qFormat/>
    <w:uiPriority w:val="99"/>
    <w:pPr>
      <w:widowControl/>
      <w:jc w:val="left"/>
    </w:pPr>
    <w:rPr>
      <w:rFonts w:ascii="宋体" w:hAnsi="Courier New" w:cs="宋体"/>
    </w:rPr>
  </w:style>
  <w:style w:type="paragraph" w:customStyle="1" w:styleId="6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Normal_15"/>
    <w:qFormat/>
    <w:uiPriority w:val="99"/>
    <w:pPr>
      <w:widowControl w:val="0"/>
      <w:jc w:val="both"/>
    </w:pPr>
    <w:rPr>
      <w:rFonts w:ascii="Calibri" w:hAnsi="Calibri" w:eastAsia="宋体" w:cs="Calibri"/>
      <w:kern w:val="2"/>
      <w:sz w:val="21"/>
      <w:szCs w:val="21"/>
      <w:lang w:val="en-US" w:eastAsia="zh-CN" w:bidi="ar-SA"/>
    </w:rPr>
  </w:style>
  <w:style w:type="character" w:customStyle="1" w:styleId="68">
    <w:name w:val="纯文本 Char2"/>
    <w:qFormat/>
    <w:uiPriority w:val="99"/>
    <w:rPr>
      <w:rFonts w:ascii="宋体" w:hAnsi="Courier New" w:eastAsia="宋体" w:cs="宋体"/>
    </w:rPr>
  </w:style>
  <w:style w:type="character" w:customStyle="1" w:styleId="69">
    <w:name w:val="Normal Indent Char"/>
    <w:link w:val="11"/>
    <w:qFormat/>
    <w:locked/>
    <w:uiPriority w:val="99"/>
    <w:rPr>
      <w:rFonts w:ascii="Times New Roman" w:hAnsi="Times New Roman" w:eastAsia="宋体" w:cs="Times New Roman"/>
      <w:sz w:val="20"/>
      <w:szCs w:val="20"/>
    </w:rPr>
  </w:style>
  <w:style w:type="character" w:customStyle="1" w:styleId="70">
    <w:name w:val="标题 1 Char"/>
    <w:basedOn w:val="26"/>
    <w:qFormat/>
    <w:uiPriority w:val="99"/>
    <w:rPr>
      <w:rFonts w:ascii="Times New Roman" w:hAnsi="Times New Roman" w:eastAsia="宋体" w:cs="Times New Roman"/>
      <w:b/>
      <w:bCs/>
      <w:kern w:val="44"/>
      <w:sz w:val="44"/>
      <w:szCs w:val="44"/>
    </w:rPr>
  </w:style>
  <w:style w:type="paragraph" w:customStyle="1" w:styleId="71">
    <w:name w:val="标题 11"/>
    <w:basedOn w:val="1"/>
    <w:qFormat/>
    <w:uiPriority w:val="99"/>
    <w:pPr>
      <w:autoSpaceDE w:val="0"/>
      <w:autoSpaceDN w:val="0"/>
      <w:adjustRightInd w:val="0"/>
      <w:ind w:left="2"/>
      <w:jc w:val="left"/>
      <w:outlineLvl w:val="0"/>
    </w:pPr>
    <w:rPr>
      <w:rFonts w:ascii="黑体" w:eastAsia="黑体" w:cs="黑体"/>
      <w:kern w:val="0"/>
    </w:rPr>
  </w:style>
  <w:style w:type="paragraph" w:customStyle="1" w:styleId="72">
    <w:name w:val="投标标题2"/>
    <w:basedOn w:val="5"/>
    <w:next w:val="1"/>
    <w:qFormat/>
    <w:uiPriority w:val="99"/>
    <w:pPr>
      <w:numPr>
        <w:ilvl w:val="1"/>
        <w:numId w:val="1"/>
      </w:numPr>
      <w:spacing w:before="120" w:after="120" w:line="415" w:lineRule="auto"/>
    </w:pPr>
    <w:rPr>
      <w:rFonts w:ascii="Times New Roman" w:hAnsi="Times New Roman" w:eastAsia="黑体" w:cs="Times New Roman"/>
      <w:sz w:val="28"/>
      <w:szCs w:val="28"/>
    </w:rPr>
  </w:style>
  <w:style w:type="paragraph" w:customStyle="1" w:styleId="73">
    <w:name w:val="投标标题4"/>
    <w:basedOn w:val="7"/>
    <w:qFormat/>
    <w:uiPriority w:val="99"/>
    <w:pPr>
      <w:numPr>
        <w:ilvl w:val="3"/>
        <w:numId w:val="1"/>
      </w:numPr>
      <w:tabs>
        <w:tab w:val="left" w:pos="376"/>
        <w:tab w:val="clear" w:pos="0"/>
      </w:tabs>
      <w:spacing w:beforeLines="50" w:afterLines="50" w:line="360" w:lineRule="auto"/>
      <w:ind w:left="16"/>
    </w:pPr>
    <w:rPr>
      <w:rFonts w:ascii="宋体" w:hAnsi="宋体" w:cs="宋体"/>
      <w:color w:val="000000"/>
      <w:sz w:val="24"/>
      <w:szCs w:val="24"/>
    </w:rPr>
  </w:style>
  <w:style w:type="paragraph" w:customStyle="1" w:styleId="74">
    <w:name w:val="投标标题1"/>
    <w:basedOn w:val="4"/>
    <w:link w:val="76"/>
    <w:qFormat/>
    <w:uiPriority w:val="99"/>
    <w:pPr>
      <w:pageBreakBefore w:val="0"/>
      <w:spacing w:before="120" w:after="120" w:line="240" w:lineRule="auto"/>
    </w:pPr>
    <w:rPr>
      <w:rFonts w:ascii="黑体" w:eastAsia="黑体" w:cs="黑体"/>
      <w:sz w:val="28"/>
      <w:szCs w:val="28"/>
    </w:rPr>
  </w:style>
  <w:style w:type="paragraph" w:customStyle="1" w:styleId="75">
    <w:name w:val="投标正文"/>
    <w:basedOn w:val="1"/>
    <w:link w:val="77"/>
    <w:qFormat/>
    <w:uiPriority w:val="99"/>
    <w:pPr>
      <w:spacing w:line="360" w:lineRule="auto"/>
      <w:ind w:left="100" w:firstLine="480" w:firstLineChars="200"/>
    </w:pPr>
    <w:rPr>
      <w:rFonts w:ascii="Calibri" w:hAnsi="Calibri" w:cs="Calibri"/>
      <w:sz w:val="24"/>
      <w:szCs w:val="24"/>
    </w:rPr>
  </w:style>
  <w:style w:type="character" w:customStyle="1" w:styleId="76">
    <w:name w:val="投标标题1 Char"/>
    <w:basedOn w:val="26"/>
    <w:link w:val="74"/>
    <w:qFormat/>
    <w:locked/>
    <w:uiPriority w:val="99"/>
    <w:rPr>
      <w:rFonts w:ascii="黑体" w:eastAsia="黑体" w:cs="黑体"/>
      <w:b/>
      <w:bCs/>
      <w:kern w:val="44"/>
      <w:sz w:val="32"/>
      <w:szCs w:val="32"/>
    </w:rPr>
  </w:style>
  <w:style w:type="character" w:customStyle="1" w:styleId="77">
    <w:name w:val="投标正文 Char"/>
    <w:basedOn w:val="26"/>
    <w:link w:val="75"/>
    <w:qFormat/>
    <w:locked/>
    <w:uiPriority w:val="99"/>
    <w:rPr>
      <w:rFonts w:ascii="Calibri" w:hAnsi="Calibri" w:eastAsia="宋体" w:cs="Calibri"/>
      <w:kern w:val="2"/>
      <w:sz w:val="24"/>
      <w:szCs w:val="24"/>
    </w:rPr>
  </w:style>
  <w:style w:type="paragraph" w:customStyle="1" w:styleId="78">
    <w:name w:val="样式 标题 4"/>
    <w:basedOn w:val="1"/>
    <w:next w:val="1"/>
    <w:qFormat/>
    <w:uiPriority w:val="99"/>
    <w:pPr>
      <w:keepNext/>
      <w:numPr>
        <w:ilvl w:val="3"/>
        <w:numId w:val="3"/>
      </w:numPr>
      <w:spacing w:before="120" w:afterLines="50" w:line="360" w:lineRule="auto"/>
      <w:jc w:val="left"/>
      <w:outlineLvl w:val="3"/>
    </w:pPr>
    <w:rPr>
      <w:rFonts w:ascii="宋体" w:cs="宋体"/>
      <w:b/>
      <w:bCs/>
      <w:kern w:val="0"/>
      <w:sz w:val="24"/>
      <w:szCs w:val="24"/>
    </w:rPr>
  </w:style>
  <w:style w:type="paragraph" w:customStyle="1" w:styleId="79">
    <w:name w:val="样式 标题 3"/>
    <w:basedOn w:val="6"/>
    <w:next w:val="1"/>
    <w:qFormat/>
    <w:uiPriority w:val="99"/>
    <w:pPr>
      <w:keepLines w:val="0"/>
      <w:numPr>
        <w:ilvl w:val="2"/>
        <w:numId w:val="3"/>
      </w:numPr>
      <w:spacing w:before="120" w:after="0" w:line="240" w:lineRule="auto"/>
      <w:jc w:val="left"/>
    </w:pPr>
    <w:rPr>
      <w:rFonts w:ascii="宋体" w:cs="宋体"/>
      <w:kern w:val="0"/>
      <w:sz w:val="24"/>
      <w:szCs w:val="24"/>
    </w:rPr>
  </w:style>
  <w:style w:type="paragraph" w:customStyle="1" w:styleId="80">
    <w:name w:val="样式 标题 2"/>
    <w:basedOn w:val="5"/>
    <w:next w:val="1"/>
    <w:qFormat/>
    <w:uiPriority w:val="99"/>
    <w:pPr>
      <w:keepLines w:val="0"/>
      <w:numPr>
        <w:ilvl w:val="1"/>
        <w:numId w:val="3"/>
      </w:numPr>
      <w:spacing w:before="120" w:after="50" w:line="240" w:lineRule="auto"/>
    </w:pPr>
    <w:rPr>
      <w:rFonts w:ascii="宋体" w:hAnsi="Times New Roman" w:cs="宋体"/>
      <w:kern w:val="0"/>
      <w:sz w:val="28"/>
      <w:szCs w:val="28"/>
    </w:rPr>
  </w:style>
  <w:style w:type="paragraph" w:customStyle="1" w:styleId="81">
    <w:name w:val="样式 标题1"/>
    <w:basedOn w:val="1"/>
    <w:next w:val="1"/>
    <w:qFormat/>
    <w:uiPriority w:val="99"/>
    <w:pPr>
      <w:keepNext/>
      <w:numPr>
        <w:ilvl w:val="0"/>
        <w:numId w:val="3"/>
      </w:numPr>
      <w:spacing w:before="120" w:afterLines="50" w:line="360" w:lineRule="auto"/>
      <w:jc w:val="left"/>
      <w:outlineLvl w:val="0"/>
    </w:pPr>
    <w:rPr>
      <w:rFonts w:ascii="宋体" w:cs="宋体"/>
      <w:b/>
      <w:bCs/>
      <w:kern w:val="0"/>
      <w:sz w:val="32"/>
      <w:szCs w:val="32"/>
    </w:rPr>
  </w:style>
  <w:style w:type="paragraph" w:customStyle="1" w:styleId="82">
    <w:name w:val="样式2"/>
    <w:basedOn w:val="75"/>
    <w:link w:val="83"/>
    <w:qFormat/>
    <w:uiPriority w:val="99"/>
    <w:pPr>
      <w:numPr>
        <w:ilvl w:val="0"/>
        <w:numId w:val="4"/>
      </w:numPr>
      <w:spacing w:before="240" w:after="240"/>
      <w:ind w:firstLine="0" w:firstLineChars="0"/>
      <w:outlineLvl w:val="1"/>
    </w:pPr>
    <w:rPr>
      <w:b/>
      <w:bCs/>
      <w:color w:val="000000"/>
      <w:sz w:val="28"/>
      <w:szCs w:val="28"/>
    </w:rPr>
  </w:style>
  <w:style w:type="character" w:customStyle="1" w:styleId="83">
    <w:name w:val="样式2 Char"/>
    <w:basedOn w:val="77"/>
    <w:link w:val="82"/>
    <w:qFormat/>
    <w:locked/>
    <w:uiPriority w:val="99"/>
    <w:rPr>
      <w:b/>
      <w:bCs/>
      <w:color w:val="000000"/>
      <w:sz w:val="28"/>
      <w:szCs w:val="28"/>
    </w:rPr>
  </w:style>
  <w:style w:type="character" w:customStyle="1" w:styleId="84">
    <w:name w:val="正文文本缩进 3 Char"/>
    <w:basedOn w:val="26"/>
    <w:semiHidden/>
    <w:qFormat/>
    <w:uiPriority w:val="99"/>
    <w:rPr>
      <w:rFonts w:ascii="Times New Roman" w:hAnsi="Times New Roman" w:eastAsia="宋体" w:cs="Times New Roman"/>
      <w:kern w:val="2"/>
      <w:sz w:val="16"/>
      <w:szCs w:val="16"/>
    </w:rPr>
  </w:style>
  <w:style w:type="character" w:customStyle="1" w:styleId="85">
    <w:name w:val="文档结构图 Char"/>
    <w:basedOn w:val="26"/>
    <w:semiHidden/>
    <w:qFormat/>
    <w:uiPriority w:val="99"/>
    <w:rPr>
      <w:rFonts w:ascii="宋体" w:hAnsi="Times New Roman" w:eastAsia="宋体" w:cs="宋体"/>
      <w:kern w:val="2"/>
      <w:sz w:val="18"/>
      <w:szCs w:val="18"/>
    </w:rPr>
  </w:style>
  <w:style w:type="character" w:customStyle="1" w:styleId="86">
    <w:name w:val="bookmark-item"/>
    <w:basedOn w:val="26"/>
    <w:qFormat/>
    <w:uiPriority w:val="99"/>
  </w:style>
  <w:style w:type="paragraph" w:customStyle="1" w:styleId="87">
    <w:name w:val="纯文本_0"/>
    <w:basedOn w:val="1"/>
    <w:qFormat/>
    <w:uiPriority w:val="99"/>
    <w:rPr>
      <w:rFonts w:ascii="宋体" w:hAnsi="Courier New" w:cs="宋体"/>
    </w:rPr>
  </w:style>
  <w:style w:type="paragraph" w:customStyle="1" w:styleId="88">
    <w:name w:val="文字"/>
    <w:basedOn w:val="1"/>
    <w:qFormat/>
    <w:uiPriority w:val="99"/>
    <w:pPr>
      <w:widowControl/>
      <w:spacing w:line="360" w:lineRule="auto"/>
      <w:ind w:firstLine="420"/>
    </w:pPr>
    <w:rPr>
      <w:rFonts w:ascii="Calibri" w:hAnsi="Calibri" w:cs="Calibri"/>
      <w:kern w:val="0"/>
      <w:sz w:val="24"/>
      <w:szCs w:val="24"/>
    </w:rPr>
  </w:style>
  <w:style w:type="paragraph" w:customStyle="1" w:styleId="89">
    <w:name w:val="Table Paragraph"/>
    <w:basedOn w:val="1"/>
    <w:qFormat/>
    <w:uiPriority w:val="1"/>
    <w:rPr>
      <w:rFonts w:ascii="宋体" w:hAnsi="宋体" w:eastAsia="宋体" w:cs="宋体"/>
      <w:lang w:val="zh-CN" w:eastAsia="zh-CN" w:bidi="zh-CN"/>
    </w:rPr>
  </w:style>
  <w:style w:type="paragraph" w:customStyle="1" w:styleId="90">
    <w:name w:val="CM26"/>
    <w:basedOn w:val="91"/>
    <w:next w:val="91"/>
    <w:qFormat/>
    <w:uiPriority w:val="99"/>
    <w:pPr>
      <w:spacing w:line="400" w:lineRule="atLeast"/>
    </w:pPr>
    <w:rPr>
      <w:rFonts w:cs="Times New Roman"/>
      <w:color w:val="auto"/>
    </w:rPr>
  </w:style>
  <w:style w:type="paragraph" w:customStyle="1" w:styleId="91">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character" w:customStyle="1" w:styleId="92">
    <w:name w:val="标题 3 Char"/>
    <w:basedOn w:val="26"/>
    <w:link w:val="6"/>
    <w:semiHidden/>
    <w:qFormat/>
    <w:locked/>
    <w:uiPriority w:val="99"/>
    <w:rPr>
      <w:rFonts w:ascii="Times New Roman" w:hAnsi="Times New Roman" w:eastAsia="宋体" w:cs="Times New Roman"/>
      <w:b/>
      <w:bCs/>
      <w:sz w:val="32"/>
      <w:szCs w:val="32"/>
    </w:rPr>
  </w:style>
  <w:style w:type="paragraph" w:customStyle="1" w:styleId="93">
    <w:name w:val="正文_0"/>
    <w:basedOn w:val="1"/>
    <w:qFormat/>
    <w:uiPriority w:val="0"/>
    <w:rPr>
      <w:lang w:val="en-US" w:eastAsia="zh-CN"/>
    </w:rPr>
  </w:style>
  <w:style w:type="paragraph" w:customStyle="1" w:styleId="94">
    <w:name w:val="表格"/>
    <w:basedOn w:val="1"/>
    <w:qFormat/>
    <w:uiPriority w:val="0"/>
    <w:pPr>
      <w:spacing w:line="240" w:lineRule="auto"/>
      <w:ind w:firstLine="0" w:firstLineChars="0"/>
      <w:jc w:val="center"/>
    </w:pPr>
    <w:rPr>
      <w:kern w:val="10"/>
      <w:sz w:val="20"/>
      <w:szCs w:val="21"/>
    </w:rPr>
  </w:style>
  <w:style w:type="paragraph" w:customStyle="1" w:styleId="95">
    <w:name w:val="_正文"/>
    <w:basedOn w:val="1"/>
    <w:qFormat/>
    <w:uiPriority w:val="0"/>
    <w:pPr>
      <w:tabs>
        <w:tab w:val="left" w:pos="540"/>
      </w:tabs>
    </w:pPr>
    <w:rPr>
      <w:rFonts w:cs="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41</Pages>
  <Words>3265</Words>
  <Characters>18614</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2019-05-05T00:52:00Z</dcterms:created>
  <dc:creator>ASUS</dc:creator>
  <cp:lastModifiedBy>小小小氓</cp:lastModifiedBy>
  <cp:lastPrinted>2020-09-10T07:00:00Z</cp:lastPrinted>
  <dcterms:modified xsi:type="dcterms:W3CDTF">2021-07-12T07:38:53Z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BFD56F73D43345D69283F5FB8F63958A</vt:lpwstr>
  </property>
</Properties>
</file>