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hAnsi="宋体"/>
          <w:sz w:val="48"/>
          <w:szCs w:val="48"/>
        </w:rPr>
      </w:pPr>
      <w:r>
        <w:rPr>
          <w:rFonts w:hint="eastAsia"/>
          <w:bCs/>
          <w:sz w:val="48"/>
          <w:szCs w:val="48"/>
        </w:rPr>
        <w:t>国网三门县供电公司物流中心标准化仓库弱电及排烟系统改造项目</w:t>
      </w:r>
    </w:p>
    <w:p>
      <w:pPr>
        <w:autoSpaceDE w:val="0"/>
        <w:autoSpaceDN w:val="0"/>
        <w:adjustRightInd w:val="0"/>
        <w:jc w:val="center"/>
        <w:rPr>
          <w:rFonts w:ascii="宋体" w:hAnsi="宋体"/>
          <w:szCs w:val="36"/>
        </w:rPr>
      </w:pPr>
    </w:p>
    <w:p>
      <w:pPr>
        <w:autoSpaceDE w:val="0"/>
        <w:autoSpaceDN w:val="0"/>
        <w:adjustRightInd w:val="0"/>
        <w:jc w:val="center"/>
        <w:rPr>
          <w:rFonts w:ascii="宋体" w:hAnsi="宋体"/>
          <w:szCs w:val="36"/>
        </w:rPr>
      </w:pPr>
    </w:p>
    <w:p>
      <w:pPr>
        <w:autoSpaceDE w:val="0"/>
        <w:autoSpaceDN w:val="0"/>
        <w:adjustRightInd w:val="0"/>
        <w:jc w:val="center"/>
        <w:rPr>
          <w:rFonts w:ascii="宋体" w:hAnsi="宋体"/>
          <w:szCs w:val="36"/>
        </w:rPr>
      </w:pPr>
    </w:p>
    <w:p>
      <w:pPr>
        <w:pStyle w:val="2"/>
      </w:pPr>
    </w:p>
    <w:p>
      <w:pPr>
        <w:adjustRightInd w:val="0"/>
        <w:snapToGrid w:val="0"/>
        <w:jc w:val="center"/>
        <w:rPr>
          <w:rFonts w:ascii="黑体" w:hAnsi="宋体" w:eastAsia="黑体"/>
          <w:b/>
          <w:bCs/>
          <w:spacing w:val="36"/>
          <w:sz w:val="84"/>
          <w:szCs w:val="84"/>
        </w:rPr>
      </w:pPr>
      <w:r>
        <w:rPr>
          <w:rFonts w:hint="eastAsia" w:ascii="黑体" w:hAnsi="宋体" w:eastAsia="黑体"/>
          <w:b/>
          <w:bCs/>
          <w:spacing w:val="36"/>
          <w:sz w:val="84"/>
          <w:szCs w:val="84"/>
        </w:rPr>
        <w:t>招标文件</w:t>
      </w:r>
    </w:p>
    <w:p>
      <w:pPr>
        <w:adjustRightInd w:val="0"/>
        <w:snapToGrid w:val="0"/>
        <w:jc w:val="center"/>
        <w:rPr>
          <w:rFonts w:ascii="华文行楷" w:hAnsi="宋体" w:eastAsia="华文行楷"/>
          <w:b/>
          <w:bCs/>
          <w:spacing w:val="36"/>
          <w:sz w:val="24"/>
        </w:rPr>
      </w:pPr>
    </w:p>
    <w:p>
      <w:pPr>
        <w:adjustRightInd w:val="0"/>
        <w:snapToGrid w:val="0"/>
        <w:rPr>
          <w:rFonts w:ascii="华文行楷" w:hAnsi="宋体" w:eastAsia="华文行楷"/>
          <w:b/>
          <w:bCs/>
          <w:spacing w:val="36"/>
          <w:sz w:val="24"/>
        </w:rPr>
      </w:pPr>
    </w:p>
    <w:p>
      <w:pPr>
        <w:adjustRightInd w:val="0"/>
        <w:snapToGrid w:val="0"/>
        <w:spacing w:line="480" w:lineRule="auto"/>
        <w:jc w:val="center"/>
        <w:rPr>
          <w:rFonts w:ascii="宋体" w:hAnsi="宋体"/>
          <w:b/>
          <w:sz w:val="32"/>
          <w:szCs w:val="32"/>
        </w:rPr>
      </w:pPr>
      <w:r>
        <w:rPr>
          <w:rFonts w:hint="eastAsia" w:ascii="宋体" w:hAnsi="宋体"/>
          <w:b/>
          <w:sz w:val="32"/>
          <w:szCs w:val="32"/>
        </w:rPr>
        <w:t>项目编号：三拓展-2019-</w:t>
      </w:r>
      <w:r>
        <w:rPr>
          <w:rFonts w:hint="eastAsia" w:ascii="宋体" w:hAnsi="宋体"/>
          <w:b/>
          <w:sz w:val="32"/>
          <w:szCs w:val="32"/>
          <w:lang w:val="en-US" w:eastAsia="zh-CN"/>
        </w:rPr>
        <w:t>037</w:t>
      </w:r>
      <w:r>
        <w:rPr>
          <w:rFonts w:hint="eastAsia" w:ascii="宋体" w:hAnsi="宋体"/>
          <w:b/>
          <w:sz w:val="32"/>
          <w:szCs w:val="32"/>
        </w:rPr>
        <w:t>号</w:t>
      </w:r>
    </w:p>
    <w:p>
      <w:pPr>
        <w:autoSpaceDE w:val="0"/>
        <w:autoSpaceDN w:val="0"/>
        <w:adjustRightInd w:val="0"/>
        <w:jc w:val="center"/>
        <w:rPr>
          <w:rFonts w:ascii="宋体" w:hAnsi="宋体"/>
          <w:szCs w:val="36"/>
        </w:rPr>
      </w:pPr>
    </w:p>
    <w:p>
      <w:pPr>
        <w:autoSpaceDE w:val="0"/>
        <w:autoSpaceDN w:val="0"/>
        <w:adjustRightInd w:val="0"/>
        <w:jc w:val="center"/>
        <w:rPr>
          <w:rFonts w:ascii="黑体" w:eastAsia="黑体"/>
          <w:b/>
          <w:bCs/>
          <w:sz w:val="52"/>
          <w:szCs w:val="72"/>
        </w:rPr>
      </w:pPr>
    </w:p>
    <w:p>
      <w:pPr>
        <w:autoSpaceDE w:val="0"/>
        <w:autoSpaceDN w:val="0"/>
        <w:adjustRightInd w:val="0"/>
        <w:jc w:val="center"/>
        <w:rPr>
          <w:rFonts w:ascii="黑体" w:eastAsia="黑体"/>
          <w:b/>
          <w:bCs/>
          <w:sz w:val="52"/>
          <w:szCs w:val="72"/>
        </w:rPr>
      </w:pPr>
    </w:p>
    <w:p>
      <w:pPr>
        <w:autoSpaceDE w:val="0"/>
        <w:autoSpaceDN w:val="0"/>
        <w:adjustRightInd w:val="0"/>
        <w:jc w:val="center"/>
        <w:rPr>
          <w:rFonts w:ascii="黑体" w:eastAsia="黑体"/>
          <w:b/>
          <w:bCs/>
          <w:sz w:val="52"/>
          <w:szCs w:val="72"/>
        </w:rPr>
      </w:pPr>
    </w:p>
    <w:p>
      <w:pPr>
        <w:pStyle w:val="2"/>
      </w:pPr>
    </w:p>
    <w:p>
      <w:pPr>
        <w:pStyle w:val="2"/>
      </w:pPr>
    </w:p>
    <w:p>
      <w:pPr>
        <w:pStyle w:val="2"/>
      </w:pPr>
    </w:p>
    <w:p>
      <w:pPr>
        <w:pStyle w:val="2"/>
      </w:pPr>
    </w:p>
    <w:p>
      <w:pPr>
        <w:pStyle w:val="2"/>
      </w:pPr>
    </w:p>
    <w:p>
      <w:pPr>
        <w:pStyle w:val="2"/>
        <w:rPr>
          <w:rFonts w:hint="eastAsia"/>
        </w:rPr>
      </w:pPr>
    </w:p>
    <w:p>
      <w:pPr>
        <w:pStyle w:val="2"/>
      </w:pPr>
    </w:p>
    <w:p>
      <w:pPr>
        <w:pStyle w:val="2"/>
        <w:spacing w:line="360" w:lineRule="auto"/>
        <w:rPr>
          <w:rFonts w:asciiTheme="minorEastAsia" w:hAnsiTheme="minorEastAsia" w:eastAsiaTheme="minorEastAsia"/>
          <w:sz w:val="36"/>
          <w:szCs w:val="36"/>
        </w:rPr>
      </w:pPr>
      <w:r>
        <w:rPr>
          <w:rFonts w:hint="eastAsia" w:asciiTheme="minorEastAsia" w:hAnsiTheme="minorEastAsia" w:eastAsiaTheme="minorEastAsia"/>
          <w:sz w:val="36"/>
          <w:szCs w:val="36"/>
        </w:rPr>
        <w:t>招标人：国网浙江三门县供电有限公司</w:t>
      </w:r>
    </w:p>
    <w:p>
      <w:pPr>
        <w:pStyle w:val="2"/>
        <w:spacing w:line="360" w:lineRule="auto"/>
        <w:rPr>
          <w:rFonts w:asciiTheme="minorEastAsia" w:hAnsiTheme="minorEastAsia" w:eastAsiaTheme="minorEastAsia"/>
          <w:sz w:val="36"/>
          <w:szCs w:val="36"/>
        </w:rPr>
      </w:pPr>
      <w:r>
        <w:rPr>
          <w:rFonts w:hint="eastAsia" w:asciiTheme="minorEastAsia" w:hAnsiTheme="minorEastAsia" w:eastAsiaTheme="minorEastAsia"/>
          <w:sz w:val="36"/>
          <w:szCs w:val="36"/>
        </w:rPr>
        <w:t>招标代理机构：浙江建科工程项目管理有限公司</w:t>
      </w:r>
    </w:p>
    <w:p>
      <w:pPr>
        <w:pStyle w:val="2"/>
        <w:spacing w:line="360" w:lineRule="auto"/>
        <w:rPr>
          <w:rFonts w:asciiTheme="minorEastAsia" w:hAnsiTheme="minorEastAsia" w:eastAsiaTheme="minorEastAsia"/>
          <w:sz w:val="36"/>
          <w:szCs w:val="36"/>
        </w:rPr>
      </w:pPr>
      <w:r>
        <w:rPr>
          <w:rFonts w:hint="eastAsia" w:asciiTheme="minorEastAsia" w:hAnsiTheme="minorEastAsia" w:eastAsiaTheme="minorEastAsia"/>
          <w:sz w:val="36"/>
          <w:szCs w:val="36"/>
        </w:rPr>
        <w:t>行业监督部门：三门县住房和城乡建设规划局</w:t>
      </w:r>
    </w:p>
    <w:p>
      <w:pPr>
        <w:pStyle w:val="2"/>
        <w:spacing w:line="360" w:lineRule="auto"/>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二O一九年</w:t>
      </w:r>
      <w:r>
        <w:rPr>
          <w:rFonts w:hint="eastAsia" w:asciiTheme="minorEastAsia" w:hAnsiTheme="minorEastAsia" w:eastAsiaTheme="minorEastAsia"/>
          <w:sz w:val="36"/>
          <w:szCs w:val="36"/>
          <w:lang w:eastAsia="zh-CN"/>
        </w:rPr>
        <w:t>十</w:t>
      </w:r>
      <w:r>
        <w:rPr>
          <w:rFonts w:hint="eastAsia" w:asciiTheme="minorEastAsia" w:hAnsiTheme="minorEastAsia" w:eastAsiaTheme="minorEastAsia"/>
          <w:sz w:val="36"/>
          <w:szCs w:val="36"/>
        </w:rPr>
        <w:t>月</w:t>
      </w:r>
    </w:p>
    <w:p>
      <w:pPr>
        <w:widowControl/>
        <w:jc w:val="left"/>
      </w:pPr>
      <w:r>
        <w:br w:type="page"/>
      </w:r>
    </w:p>
    <w:p>
      <w:pPr>
        <w:jc w:val="center"/>
        <w:rPr>
          <w:rFonts w:hint="eastAsia"/>
          <w:sz w:val="48"/>
          <w:szCs w:val="48"/>
        </w:rPr>
      </w:pPr>
      <w:r>
        <w:rPr>
          <w:rFonts w:hint="eastAsia"/>
          <w:sz w:val="48"/>
          <w:szCs w:val="48"/>
        </w:rPr>
        <w:t>目录</w:t>
      </w:r>
    </w:p>
    <w:p>
      <w:pPr>
        <w:pStyle w:val="15"/>
        <w:tabs>
          <w:tab w:val="right" w:leader="dot" w:pos="9174"/>
        </w:tabs>
        <w:rPr>
          <w:rFonts w:asciiTheme="minorHAnsi" w:hAnsiTheme="minorHAnsi" w:eastAsiaTheme="minorEastAsia" w:cstheme="minorBidi"/>
          <w:szCs w:val="22"/>
        </w:rPr>
      </w:pPr>
      <w:r>
        <w:fldChar w:fldCharType="begin"/>
      </w:r>
      <w:r>
        <w:instrText xml:space="preserve"> </w:instrText>
      </w:r>
      <w:r>
        <w:rPr>
          <w:rFonts w:hint="eastAsia"/>
        </w:rPr>
        <w:instrText xml:space="preserve">TOC \o "1-3" \h \z \u</w:instrText>
      </w:r>
      <w:r>
        <w:instrText xml:space="preserve"> </w:instrText>
      </w:r>
      <w:r>
        <w:fldChar w:fldCharType="separate"/>
      </w:r>
      <w:r>
        <w:fldChar w:fldCharType="begin"/>
      </w:r>
      <w:r>
        <w:instrText xml:space="preserve"> HYPERLINK \l "_Toc19880414" </w:instrText>
      </w:r>
      <w:r>
        <w:fldChar w:fldCharType="separate"/>
      </w:r>
      <w:r>
        <w:rPr>
          <w:rStyle w:val="21"/>
          <w:rFonts w:hint="eastAsia"/>
        </w:rPr>
        <w:t>第一章招标公告</w:t>
      </w:r>
      <w:r>
        <w:tab/>
      </w:r>
      <w:r>
        <w:fldChar w:fldCharType="begin"/>
      </w:r>
      <w:r>
        <w:instrText xml:space="preserve"> PAGEREF _Toc19880414 \h </w:instrText>
      </w:r>
      <w:r>
        <w:fldChar w:fldCharType="separate"/>
      </w:r>
      <w:r>
        <w:t>3</w:t>
      </w:r>
      <w:r>
        <w:fldChar w:fldCharType="end"/>
      </w:r>
      <w:r>
        <w:fldChar w:fldCharType="end"/>
      </w:r>
    </w:p>
    <w:p>
      <w:pPr>
        <w:pStyle w:val="15"/>
        <w:tabs>
          <w:tab w:val="right" w:leader="dot" w:pos="9174"/>
        </w:tabs>
        <w:rPr>
          <w:rFonts w:asciiTheme="minorHAnsi" w:hAnsiTheme="minorHAnsi" w:eastAsiaTheme="minorEastAsia" w:cstheme="minorBidi"/>
          <w:szCs w:val="22"/>
        </w:rPr>
      </w:pPr>
      <w:r>
        <w:fldChar w:fldCharType="begin"/>
      </w:r>
      <w:r>
        <w:instrText xml:space="preserve"> HYPERLINK \l "_Toc19880415" </w:instrText>
      </w:r>
      <w:r>
        <w:fldChar w:fldCharType="separate"/>
      </w:r>
      <w:r>
        <w:rPr>
          <w:rStyle w:val="21"/>
          <w:rFonts w:hint="eastAsia"/>
        </w:rPr>
        <w:t>第二章投标人须知</w:t>
      </w:r>
      <w:r>
        <w:tab/>
      </w:r>
      <w:r>
        <w:fldChar w:fldCharType="begin"/>
      </w:r>
      <w:r>
        <w:instrText xml:space="preserve"> PAGEREF _Toc19880415 \h </w:instrText>
      </w:r>
      <w:r>
        <w:fldChar w:fldCharType="separate"/>
      </w:r>
      <w:r>
        <w:t>5</w:t>
      </w:r>
      <w:r>
        <w:fldChar w:fldCharType="end"/>
      </w:r>
      <w:r>
        <w:fldChar w:fldCharType="end"/>
      </w:r>
    </w:p>
    <w:p>
      <w:pPr>
        <w:pStyle w:val="16"/>
        <w:tabs>
          <w:tab w:val="right" w:leader="dot" w:pos="9174"/>
        </w:tabs>
        <w:rPr>
          <w:rFonts w:asciiTheme="minorHAnsi" w:hAnsiTheme="minorHAnsi" w:eastAsiaTheme="minorEastAsia" w:cstheme="minorBidi"/>
          <w:szCs w:val="22"/>
        </w:rPr>
      </w:pPr>
      <w:r>
        <w:fldChar w:fldCharType="begin"/>
      </w:r>
      <w:r>
        <w:instrText xml:space="preserve"> HYPERLINK \l "_Toc19880416" </w:instrText>
      </w:r>
      <w:r>
        <w:fldChar w:fldCharType="separate"/>
      </w:r>
      <w:r>
        <w:rPr>
          <w:rStyle w:val="21"/>
          <w:rFonts w:hint="eastAsia"/>
        </w:rPr>
        <w:t>前附表</w:t>
      </w:r>
      <w:r>
        <w:tab/>
      </w:r>
      <w:r>
        <w:fldChar w:fldCharType="begin"/>
      </w:r>
      <w:r>
        <w:instrText xml:space="preserve"> PAGEREF _Toc19880416 \h </w:instrText>
      </w:r>
      <w:r>
        <w:fldChar w:fldCharType="separate"/>
      </w:r>
      <w:r>
        <w:t>5</w:t>
      </w:r>
      <w:r>
        <w:fldChar w:fldCharType="end"/>
      </w:r>
      <w:r>
        <w:fldChar w:fldCharType="end"/>
      </w:r>
    </w:p>
    <w:p>
      <w:pPr>
        <w:pStyle w:val="16"/>
        <w:tabs>
          <w:tab w:val="right" w:leader="dot" w:pos="9174"/>
        </w:tabs>
        <w:rPr>
          <w:rFonts w:asciiTheme="minorHAnsi" w:hAnsiTheme="minorHAnsi" w:eastAsiaTheme="minorEastAsia" w:cstheme="minorBidi"/>
          <w:szCs w:val="22"/>
        </w:rPr>
      </w:pPr>
      <w:r>
        <w:fldChar w:fldCharType="begin"/>
      </w:r>
      <w:r>
        <w:instrText xml:space="preserve"> HYPERLINK \l "_Toc19880417" </w:instrText>
      </w:r>
      <w:r>
        <w:fldChar w:fldCharType="separate"/>
      </w:r>
      <w:r>
        <w:rPr>
          <w:rStyle w:val="21"/>
          <w:rFonts w:hint="eastAsia"/>
        </w:rPr>
        <w:t>一</w:t>
      </w:r>
      <w:r>
        <w:rPr>
          <w:rStyle w:val="21"/>
        </w:rPr>
        <w:t xml:space="preserve"> </w:t>
      </w:r>
      <w:r>
        <w:rPr>
          <w:rStyle w:val="21"/>
          <w:rFonts w:hint="eastAsia"/>
        </w:rPr>
        <w:t>、总</w:t>
      </w:r>
      <w:r>
        <w:rPr>
          <w:rStyle w:val="21"/>
        </w:rPr>
        <w:t xml:space="preserve">  </w:t>
      </w:r>
      <w:r>
        <w:rPr>
          <w:rStyle w:val="21"/>
          <w:rFonts w:hint="eastAsia"/>
        </w:rPr>
        <w:t>则</w:t>
      </w:r>
      <w:r>
        <w:tab/>
      </w:r>
      <w:r>
        <w:fldChar w:fldCharType="begin"/>
      </w:r>
      <w:r>
        <w:instrText xml:space="preserve"> PAGEREF _Toc19880417 \h </w:instrText>
      </w:r>
      <w:r>
        <w:fldChar w:fldCharType="separate"/>
      </w:r>
      <w:r>
        <w:t>7</w:t>
      </w:r>
      <w:r>
        <w:fldChar w:fldCharType="end"/>
      </w:r>
      <w:r>
        <w:fldChar w:fldCharType="end"/>
      </w:r>
    </w:p>
    <w:p>
      <w:pPr>
        <w:pStyle w:val="16"/>
        <w:tabs>
          <w:tab w:val="right" w:leader="dot" w:pos="9174"/>
        </w:tabs>
        <w:rPr>
          <w:rFonts w:asciiTheme="minorHAnsi" w:hAnsiTheme="minorHAnsi" w:eastAsiaTheme="minorEastAsia" w:cstheme="minorBidi"/>
          <w:szCs w:val="22"/>
        </w:rPr>
      </w:pPr>
      <w:r>
        <w:fldChar w:fldCharType="begin"/>
      </w:r>
      <w:r>
        <w:instrText xml:space="preserve"> HYPERLINK \l "_Toc19880418" </w:instrText>
      </w:r>
      <w:r>
        <w:fldChar w:fldCharType="separate"/>
      </w:r>
      <w:r>
        <w:rPr>
          <w:rStyle w:val="21"/>
          <w:rFonts w:hint="eastAsia"/>
        </w:rPr>
        <w:t>二、招标文件</w:t>
      </w:r>
      <w:r>
        <w:tab/>
      </w:r>
      <w:r>
        <w:fldChar w:fldCharType="begin"/>
      </w:r>
      <w:r>
        <w:instrText xml:space="preserve"> PAGEREF _Toc19880418 \h </w:instrText>
      </w:r>
      <w:r>
        <w:fldChar w:fldCharType="separate"/>
      </w:r>
      <w:r>
        <w:t>8</w:t>
      </w:r>
      <w:r>
        <w:fldChar w:fldCharType="end"/>
      </w:r>
      <w:r>
        <w:fldChar w:fldCharType="end"/>
      </w:r>
    </w:p>
    <w:p>
      <w:pPr>
        <w:pStyle w:val="16"/>
        <w:tabs>
          <w:tab w:val="right" w:leader="dot" w:pos="9174"/>
        </w:tabs>
        <w:rPr>
          <w:rFonts w:asciiTheme="minorHAnsi" w:hAnsiTheme="minorHAnsi" w:eastAsiaTheme="minorEastAsia" w:cstheme="minorBidi"/>
          <w:szCs w:val="22"/>
        </w:rPr>
      </w:pPr>
      <w:r>
        <w:fldChar w:fldCharType="begin"/>
      </w:r>
      <w:r>
        <w:instrText xml:space="preserve"> HYPERLINK \l "_Toc19880419" </w:instrText>
      </w:r>
      <w:r>
        <w:fldChar w:fldCharType="separate"/>
      </w:r>
      <w:r>
        <w:rPr>
          <w:rStyle w:val="21"/>
          <w:rFonts w:hint="eastAsia"/>
        </w:rPr>
        <w:t>三、投标文件</w:t>
      </w:r>
      <w:r>
        <w:tab/>
      </w:r>
      <w:r>
        <w:fldChar w:fldCharType="begin"/>
      </w:r>
      <w:r>
        <w:instrText xml:space="preserve"> PAGEREF _Toc19880419 \h </w:instrText>
      </w:r>
      <w:r>
        <w:fldChar w:fldCharType="separate"/>
      </w:r>
      <w:r>
        <w:t>8</w:t>
      </w:r>
      <w:r>
        <w:fldChar w:fldCharType="end"/>
      </w:r>
      <w:r>
        <w:fldChar w:fldCharType="end"/>
      </w:r>
    </w:p>
    <w:p>
      <w:pPr>
        <w:pStyle w:val="16"/>
        <w:tabs>
          <w:tab w:val="right" w:leader="dot" w:pos="9174"/>
        </w:tabs>
        <w:rPr>
          <w:rFonts w:asciiTheme="minorHAnsi" w:hAnsiTheme="minorHAnsi" w:eastAsiaTheme="minorEastAsia" w:cstheme="minorBidi"/>
          <w:szCs w:val="22"/>
        </w:rPr>
      </w:pPr>
      <w:r>
        <w:fldChar w:fldCharType="begin"/>
      </w:r>
      <w:r>
        <w:instrText xml:space="preserve"> HYPERLINK \l "_Toc19880420" </w:instrText>
      </w:r>
      <w:r>
        <w:fldChar w:fldCharType="separate"/>
      </w:r>
      <w:r>
        <w:rPr>
          <w:rStyle w:val="21"/>
          <w:rFonts w:hint="eastAsia"/>
        </w:rPr>
        <w:t>四、投标保证金：</w:t>
      </w:r>
      <w:r>
        <w:tab/>
      </w:r>
      <w:r>
        <w:fldChar w:fldCharType="begin"/>
      </w:r>
      <w:r>
        <w:instrText xml:space="preserve"> PAGEREF _Toc19880420 \h </w:instrText>
      </w:r>
      <w:r>
        <w:fldChar w:fldCharType="separate"/>
      </w:r>
      <w:r>
        <w:t>11</w:t>
      </w:r>
      <w:r>
        <w:fldChar w:fldCharType="end"/>
      </w:r>
      <w:r>
        <w:fldChar w:fldCharType="end"/>
      </w:r>
    </w:p>
    <w:p>
      <w:pPr>
        <w:pStyle w:val="16"/>
        <w:tabs>
          <w:tab w:val="right" w:leader="dot" w:pos="9174"/>
        </w:tabs>
        <w:rPr>
          <w:rFonts w:asciiTheme="minorHAnsi" w:hAnsiTheme="minorHAnsi" w:eastAsiaTheme="minorEastAsia" w:cstheme="minorBidi"/>
          <w:szCs w:val="22"/>
        </w:rPr>
      </w:pPr>
      <w:r>
        <w:fldChar w:fldCharType="begin"/>
      </w:r>
      <w:r>
        <w:instrText xml:space="preserve"> HYPERLINK \l "_Toc19880421" </w:instrText>
      </w:r>
      <w:r>
        <w:fldChar w:fldCharType="separate"/>
      </w:r>
      <w:r>
        <w:rPr>
          <w:rStyle w:val="21"/>
          <w:rFonts w:hint="eastAsia"/>
        </w:rPr>
        <w:t>五、开标</w:t>
      </w:r>
      <w:r>
        <w:tab/>
      </w:r>
      <w:r>
        <w:fldChar w:fldCharType="begin"/>
      </w:r>
      <w:r>
        <w:instrText xml:space="preserve"> PAGEREF _Toc19880421 \h </w:instrText>
      </w:r>
      <w:r>
        <w:fldChar w:fldCharType="separate"/>
      </w:r>
      <w:r>
        <w:t>12</w:t>
      </w:r>
      <w:r>
        <w:fldChar w:fldCharType="end"/>
      </w:r>
      <w:r>
        <w:fldChar w:fldCharType="end"/>
      </w:r>
    </w:p>
    <w:p>
      <w:pPr>
        <w:pStyle w:val="16"/>
        <w:tabs>
          <w:tab w:val="right" w:leader="dot" w:pos="9174"/>
        </w:tabs>
        <w:rPr>
          <w:rFonts w:asciiTheme="minorHAnsi" w:hAnsiTheme="minorHAnsi" w:eastAsiaTheme="minorEastAsia" w:cstheme="minorBidi"/>
          <w:szCs w:val="22"/>
        </w:rPr>
      </w:pPr>
      <w:r>
        <w:fldChar w:fldCharType="begin"/>
      </w:r>
      <w:r>
        <w:instrText xml:space="preserve"> HYPERLINK \l "_Toc19880422" </w:instrText>
      </w:r>
      <w:r>
        <w:fldChar w:fldCharType="separate"/>
      </w:r>
      <w:r>
        <w:rPr>
          <w:rStyle w:val="21"/>
          <w:rFonts w:hint="eastAsia"/>
        </w:rPr>
        <w:t>六、评标</w:t>
      </w:r>
      <w:r>
        <w:tab/>
      </w:r>
      <w:r>
        <w:fldChar w:fldCharType="begin"/>
      </w:r>
      <w:r>
        <w:instrText xml:space="preserve"> PAGEREF _Toc19880422 \h </w:instrText>
      </w:r>
      <w:r>
        <w:fldChar w:fldCharType="separate"/>
      </w:r>
      <w:r>
        <w:t>13</w:t>
      </w:r>
      <w:r>
        <w:fldChar w:fldCharType="end"/>
      </w:r>
      <w:r>
        <w:fldChar w:fldCharType="end"/>
      </w:r>
    </w:p>
    <w:p>
      <w:pPr>
        <w:pStyle w:val="16"/>
        <w:tabs>
          <w:tab w:val="right" w:leader="dot" w:pos="9174"/>
        </w:tabs>
        <w:rPr>
          <w:rFonts w:asciiTheme="minorHAnsi" w:hAnsiTheme="minorHAnsi" w:eastAsiaTheme="minorEastAsia" w:cstheme="minorBidi"/>
          <w:szCs w:val="22"/>
        </w:rPr>
      </w:pPr>
      <w:r>
        <w:fldChar w:fldCharType="begin"/>
      </w:r>
      <w:r>
        <w:instrText xml:space="preserve"> HYPERLINK \l "_Toc19880423" </w:instrText>
      </w:r>
      <w:r>
        <w:fldChar w:fldCharType="separate"/>
      </w:r>
      <w:r>
        <w:rPr>
          <w:rStyle w:val="21"/>
          <w:rFonts w:hint="eastAsia"/>
        </w:rPr>
        <w:t>七、定标</w:t>
      </w:r>
      <w:r>
        <w:tab/>
      </w:r>
      <w:r>
        <w:fldChar w:fldCharType="begin"/>
      </w:r>
      <w:r>
        <w:instrText xml:space="preserve"> PAGEREF _Toc19880423 \h </w:instrText>
      </w:r>
      <w:r>
        <w:fldChar w:fldCharType="separate"/>
      </w:r>
      <w:r>
        <w:t>15</w:t>
      </w:r>
      <w:r>
        <w:fldChar w:fldCharType="end"/>
      </w:r>
      <w:r>
        <w:fldChar w:fldCharType="end"/>
      </w:r>
    </w:p>
    <w:p>
      <w:pPr>
        <w:pStyle w:val="16"/>
        <w:tabs>
          <w:tab w:val="right" w:leader="dot" w:pos="9174"/>
        </w:tabs>
        <w:rPr>
          <w:rFonts w:asciiTheme="minorHAnsi" w:hAnsiTheme="minorHAnsi" w:eastAsiaTheme="minorEastAsia" w:cstheme="minorBidi"/>
          <w:szCs w:val="22"/>
        </w:rPr>
      </w:pPr>
      <w:r>
        <w:fldChar w:fldCharType="begin"/>
      </w:r>
      <w:r>
        <w:instrText xml:space="preserve"> HYPERLINK \l "_Toc19880424" </w:instrText>
      </w:r>
      <w:r>
        <w:fldChar w:fldCharType="separate"/>
      </w:r>
      <w:r>
        <w:rPr>
          <w:rStyle w:val="21"/>
          <w:rFonts w:hint="eastAsia"/>
        </w:rPr>
        <w:t>八、合同签订及公告</w:t>
      </w:r>
      <w:r>
        <w:tab/>
      </w:r>
      <w:r>
        <w:fldChar w:fldCharType="begin"/>
      </w:r>
      <w:r>
        <w:instrText xml:space="preserve"> PAGEREF _Toc19880424 \h </w:instrText>
      </w:r>
      <w:r>
        <w:fldChar w:fldCharType="separate"/>
      </w:r>
      <w:r>
        <w:t>16</w:t>
      </w:r>
      <w:r>
        <w:fldChar w:fldCharType="end"/>
      </w:r>
      <w:r>
        <w:fldChar w:fldCharType="end"/>
      </w:r>
    </w:p>
    <w:p>
      <w:pPr>
        <w:pStyle w:val="15"/>
        <w:tabs>
          <w:tab w:val="right" w:leader="dot" w:pos="9174"/>
        </w:tabs>
        <w:rPr>
          <w:rFonts w:asciiTheme="minorHAnsi" w:hAnsiTheme="minorHAnsi" w:eastAsiaTheme="minorEastAsia" w:cstheme="minorBidi"/>
          <w:szCs w:val="22"/>
        </w:rPr>
      </w:pPr>
      <w:r>
        <w:fldChar w:fldCharType="begin"/>
      </w:r>
      <w:r>
        <w:instrText xml:space="preserve"> HYPERLINK \l "_Toc19880425" </w:instrText>
      </w:r>
      <w:r>
        <w:fldChar w:fldCharType="separate"/>
      </w:r>
      <w:r>
        <w:rPr>
          <w:rStyle w:val="21"/>
          <w:rFonts w:hint="eastAsia"/>
        </w:rPr>
        <w:t>第三章评分办法及评分标准</w:t>
      </w:r>
      <w:r>
        <w:tab/>
      </w:r>
      <w:r>
        <w:fldChar w:fldCharType="begin"/>
      </w:r>
      <w:r>
        <w:instrText xml:space="preserve"> PAGEREF _Toc19880425 \h </w:instrText>
      </w:r>
      <w:r>
        <w:fldChar w:fldCharType="separate"/>
      </w:r>
      <w:r>
        <w:t>17</w:t>
      </w:r>
      <w:r>
        <w:fldChar w:fldCharType="end"/>
      </w:r>
      <w:r>
        <w:fldChar w:fldCharType="end"/>
      </w:r>
    </w:p>
    <w:p>
      <w:pPr>
        <w:pStyle w:val="15"/>
        <w:tabs>
          <w:tab w:val="right" w:leader="dot" w:pos="9174"/>
        </w:tabs>
        <w:rPr>
          <w:rFonts w:asciiTheme="minorHAnsi" w:hAnsiTheme="minorHAnsi" w:eastAsiaTheme="minorEastAsia" w:cstheme="minorBidi"/>
          <w:szCs w:val="22"/>
        </w:rPr>
      </w:pPr>
      <w:r>
        <w:fldChar w:fldCharType="begin"/>
      </w:r>
      <w:r>
        <w:instrText xml:space="preserve"> HYPERLINK \l "_Toc19880426" </w:instrText>
      </w:r>
      <w:r>
        <w:fldChar w:fldCharType="separate"/>
      </w:r>
      <w:r>
        <w:rPr>
          <w:rStyle w:val="21"/>
          <w:rFonts w:hint="eastAsia"/>
        </w:rPr>
        <w:t>第四章招标需求</w:t>
      </w:r>
      <w:r>
        <w:tab/>
      </w:r>
      <w:r>
        <w:fldChar w:fldCharType="begin"/>
      </w:r>
      <w:r>
        <w:instrText xml:space="preserve"> PAGEREF _Toc19880426 \h </w:instrText>
      </w:r>
      <w:r>
        <w:fldChar w:fldCharType="separate"/>
      </w:r>
      <w:r>
        <w:t>20</w:t>
      </w:r>
      <w:r>
        <w:fldChar w:fldCharType="end"/>
      </w:r>
      <w:r>
        <w:fldChar w:fldCharType="end"/>
      </w:r>
    </w:p>
    <w:p>
      <w:pPr>
        <w:pStyle w:val="16"/>
        <w:tabs>
          <w:tab w:val="right" w:leader="dot" w:pos="9174"/>
        </w:tabs>
        <w:rPr>
          <w:rFonts w:asciiTheme="minorHAnsi" w:hAnsiTheme="minorHAnsi" w:eastAsiaTheme="minorEastAsia" w:cstheme="minorBidi"/>
          <w:szCs w:val="22"/>
        </w:rPr>
      </w:pPr>
      <w:r>
        <w:fldChar w:fldCharType="begin"/>
      </w:r>
      <w:r>
        <w:instrText xml:space="preserve"> HYPERLINK \l "_Toc19880427" </w:instrText>
      </w:r>
      <w:r>
        <w:fldChar w:fldCharType="separate"/>
      </w:r>
      <w:r>
        <w:rPr>
          <w:rStyle w:val="21"/>
          <w:rFonts w:asciiTheme="majorEastAsia" w:hAnsiTheme="majorEastAsia"/>
        </w:rPr>
        <w:t xml:space="preserve">2. </w:t>
      </w:r>
      <w:r>
        <w:rPr>
          <w:rStyle w:val="21"/>
          <w:rFonts w:hint="eastAsia" w:asciiTheme="majorEastAsia" w:hAnsiTheme="majorEastAsia"/>
        </w:rPr>
        <w:t>项目采购需求清单及详细技术参数要求</w:t>
      </w:r>
      <w:r>
        <w:tab/>
      </w:r>
      <w:r>
        <w:fldChar w:fldCharType="begin"/>
      </w:r>
      <w:r>
        <w:instrText xml:space="preserve"> PAGEREF _Toc19880427 \h </w:instrText>
      </w:r>
      <w:r>
        <w:fldChar w:fldCharType="separate"/>
      </w:r>
      <w:r>
        <w:t>21</w:t>
      </w:r>
      <w:r>
        <w:fldChar w:fldCharType="end"/>
      </w:r>
      <w:r>
        <w:fldChar w:fldCharType="end"/>
      </w:r>
    </w:p>
    <w:p>
      <w:pPr>
        <w:pStyle w:val="16"/>
        <w:tabs>
          <w:tab w:val="right" w:leader="dot" w:pos="9174"/>
        </w:tabs>
        <w:rPr>
          <w:rFonts w:asciiTheme="minorHAnsi" w:hAnsiTheme="minorHAnsi" w:eastAsiaTheme="minorEastAsia" w:cstheme="minorBidi"/>
          <w:szCs w:val="22"/>
        </w:rPr>
      </w:pPr>
      <w:r>
        <w:fldChar w:fldCharType="begin"/>
      </w:r>
      <w:r>
        <w:instrText xml:space="preserve"> HYPERLINK \l "_Toc19880428" </w:instrText>
      </w:r>
      <w:r>
        <w:fldChar w:fldCharType="separate"/>
      </w:r>
      <w:r>
        <w:rPr>
          <w:rStyle w:val="21"/>
        </w:rPr>
        <w:t>3.</w:t>
      </w:r>
      <w:r>
        <w:rPr>
          <w:rStyle w:val="21"/>
          <w:rFonts w:hint="eastAsia"/>
        </w:rPr>
        <w:t>商务需求</w:t>
      </w:r>
      <w:r>
        <w:tab/>
      </w:r>
      <w:r>
        <w:fldChar w:fldCharType="begin"/>
      </w:r>
      <w:r>
        <w:instrText xml:space="preserve"> PAGEREF _Toc19880428 \h </w:instrText>
      </w:r>
      <w:r>
        <w:fldChar w:fldCharType="separate"/>
      </w:r>
      <w:r>
        <w:t>36</w:t>
      </w:r>
      <w:r>
        <w:fldChar w:fldCharType="end"/>
      </w:r>
      <w:r>
        <w:fldChar w:fldCharType="end"/>
      </w:r>
    </w:p>
    <w:p>
      <w:pPr>
        <w:pStyle w:val="15"/>
        <w:tabs>
          <w:tab w:val="right" w:leader="dot" w:pos="9174"/>
        </w:tabs>
        <w:rPr>
          <w:rFonts w:asciiTheme="minorHAnsi" w:hAnsiTheme="minorHAnsi" w:eastAsiaTheme="minorEastAsia" w:cstheme="minorBidi"/>
          <w:szCs w:val="22"/>
        </w:rPr>
      </w:pPr>
      <w:r>
        <w:fldChar w:fldCharType="begin"/>
      </w:r>
      <w:r>
        <w:instrText xml:space="preserve"> HYPERLINK \l "_Toc19880429" </w:instrText>
      </w:r>
      <w:r>
        <w:fldChar w:fldCharType="separate"/>
      </w:r>
      <w:r>
        <w:rPr>
          <w:rStyle w:val="21"/>
          <w:rFonts w:hint="eastAsia" w:asciiTheme="majorEastAsia" w:hAnsiTheme="majorEastAsia" w:eastAsiaTheme="majorEastAsia"/>
        </w:rPr>
        <w:t>第五章政府采购合同主要条款指引</w:t>
      </w:r>
      <w:r>
        <w:tab/>
      </w:r>
      <w:r>
        <w:fldChar w:fldCharType="begin"/>
      </w:r>
      <w:r>
        <w:instrText xml:space="preserve"> PAGEREF _Toc19880429 \h </w:instrText>
      </w:r>
      <w:r>
        <w:fldChar w:fldCharType="separate"/>
      </w:r>
      <w:r>
        <w:t>37</w:t>
      </w:r>
      <w:r>
        <w:fldChar w:fldCharType="end"/>
      </w:r>
      <w:r>
        <w:fldChar w:fldCharType="end"/>
      </w:r>
    </w:p>
    <w:p>
      <w:pPr>
        <w:pStyle w:val="15"/>
        <w:tabs>
          <w:tab w:val="right" w:leader="dot" w:pos="9174"/>
        </w:tabs>
        <w:rPr>
          <w:rFonts w:asciiTheme="minorHAnsi" w:hAnsiTheme="minorHAnsi" w:eastAsiaTheme="minorEastAsia" w:cstheme="minorBidi"/>
          <w:szCs w:val="22"/>
        </w:rPr>
      </w:pPr>
      <w:r>
        <w:fldChar w:fldCharType="begin"/>
      </w:r>
      <w:r>
        <w:instrText xml:space="preserve"> HYPERLINK \l "_Toc19880430" </w:instrText>
      </w:r>
      <w:r>
        <w:fldChar w:fldCharType="separate"/>
      </w:r>
      <w:r>
        <w:rPr>
          <w:rStyle w:val="21"/>
          <w:rFonts w:hint="eastAsia"/>
        </w:rPr>
        <w:t>第六章投标文件格式附件</w:t>
      </w:r>
      <w:r>
        <w:tab/>
      </w:r>
      <w:r>
        <w:fldChar w:fldCharType="begin"/>
      </w:r>
      <w:r>
        <w:instrText xml:space="preserve"> PAGEREF _Toc19880430 \h </w:instrText>
      </w:r>
      <w:r>
        <w:fldChar w:fldCharType="separate"/>
      </w:r>
      <w:r>
        <w:t>41</w:t>
      </w:r>
      <w:r>
        <w:fldChar w:fldCharType="end"/>
      </w:r>
      <w:r>
        <w:fldChar w:fldCharType="end"/>
      </w:r>
    </w:p>
    <w:p>
      <w:pPr>
        <w:pStyle w:val="16"/>
        <w:tabs>
          <w:tab w:val="right" w:leader="dot" w:pos="9174"/>
        </w:tabs>
        <w:rPr>
          <w:rFonts w:asciiTheme="minorHAnsi" w:hAnsiTheme="minorHAnsi" w:eastAsiaTheme="minorEastAsia" w:cstheme="minorBidi"/>
          <w:szCs w:val="22"/>
        </w:rPr>
      </w:pPr>
      <w:r>
        <w:fldChar w:fldCharType="begin"/>
      </w:r>
      <w:r>
        <w:instrText xml:space="preserve"> HYPERLINK \l "_Toc19880431" </w:instrText>
      </w:r>
      <w:r>
        <w:fldChar w:fldCharType="separate"/>
      </w:r>
      <w:r>
        <w:rPr>
          <w:rStyle w:val="21"/>
          <w:rFonts w:hint="eastAsia"/>
          <w:kern w:val="0"/>
        </w:rPr>
        <w:t>附件</w:t>
      </w:r>
      <w:r>
        <w:rPr>
          <w:rStyle w:val="21"/>
          <w:kern w:val="0"/>
        </w:rPr>
        <w:t>1</w:t>
      </w:r>
      <w:r>
        <w:tab/>
      </w:r>
      <w:r>
        <w:fldChar w:fldCharType="begin"/>
      </w:r>
      <w:r>
        <w:instrText xml:space="preserve"> PAGEREF _Toc19880431 \h </w:instrText>
      </w:r>
      <w:r>
        <w:fldChar w:fldCharType="separate"/>
      </w:r>
      <w:r>
        <w:t>41</w:t>
      </w:r>
      <w:r>
        <w:fldChar w:fldCharType="end"/>
      </w:r>
      <w:r>
        <w:fldChar w:fldCharType="end"/>
      </w:r>
    </w:p>
    <w:p>
      <w:pPr>
        <w:pStyle w:val="16"/>
        <w:tabs>
          <w:tab w:val="right" w:leader="dot" w:pos="9174"/>
        </w:tabs>
        <w:rPr>
          <w:rFonts w:asciiTheme="minorHAnsi" w:hAnsiTheme="minorHAnsi" w:eastAsiaTheme="minorEastAsia" w:cstheme="minorBidi"/>
          <w:szCs w:val="22"/>
        </w:rPr>
      </w:pPr>
      <w:r>
        <w:fldChar w:fldCharType="begin"/>
      </w:r>
      <w:r>
        <w:instrText xml:space="preserve"> HYPERLINK \l "_Toc19880432" </w:instrText>
      </w:r>
      <w:r>
        <w:fldChar w:fldCharType="separate"/>
      </w:r>
      <w:r>
        <w:rPr>
          <w:rStyle w:val="21"/>
          <w:rFonts w:hint="eastAsia"/>
          <w:kern w:val="0"/>
        </w:rPr>
        <w:t>附件</w:t>
      </w:r>
      <w:r>
        <w:rPr>
          <w:rStyle w:val="21"/>
          <w:kern w:val="0"/>
        </w:rPr>
        <w:t>2</w:t>
      </w:r>
      <w:r>
        <w:tab/>
      </w:r>
      <w:r>
        <w:fldChar w:fldCharType="begin"/>
      </w:r>
      <w:r>
        <w:instrText xml:space="preserve"> PAGEREF _Toc19880432 \h </w:instrText>
      </w:r>
      <w:r>
        <w:fldChar w:fldCharType="separate"/>
      </w:r>
      <w:r>
        <w:t>43</w:t>
      </w:r>
      <w:r>
        <w:fldChar w:fldCharType="end"/>
      </w:r>
      <w:r>
        <w:fldChar w:fldCharType="end"/>
      </w:r>
    </w:p>
    <w:p>
      <w:pPr>
        <w:pStyle w:val="16"/>
        <w:tabs>
          <w:tab w:val="right" w:leader="dot" w:pos="9174"/>
        </w:tabs>
        <w:rPr>
          <w:rFonts w:asciiTheme="minorHAnsi" w:hAnsiTheme="minorHAnsi" w:eastAsiaTheme="minorEastAsia" w:cstheme="minorBidi"/>
          <w:szCs w:val="22"/>
        </w:rPr>
      </w:pPr>
      <w:r>
        <w:fldChar w:fldCharType="begin"/>
      </w:r>
      <w:r>
        <w:instrText xml:space="preserve"> HYPERLINK \l "_Toc19880433" </w:instrText>
      </w:r>
      <w:r>
        <w:fldChar w:fldCharType="separate"/>
      </w:r>
      <w:r>
        <w:rPr>
          <w:rStyle w:val="21"/>
          <w:rFonts w:hint="eastAsia"/>
          <w:kern w:val="0"/>
        </w:rPr>
        <w:t>附件</w:t>
      </w:r>
      <w:r>
        <w:rPr>
          <w:rStyle w:val="21"/>
          <w:kern w:val="0"/>
        </w:rPr>
        <w:t>3</w:t>
      </w:r>
      <w:r>
        <w:tab/>
      </w:r>
      <w:r>
        <w:fldChar w:fldCharType="begin"/>
      </w:r>
      <w:r>
        <w:instrText xml:space="preserve"> PAGEREF _Toc19880433 \h </w:instrText>
      </w:r>
      <w:r>
        <w:fldChar w:fldCharType="separate"/>
      </w:r>
      <w:r>
        <w:t>44</w:t>
      </w:r>
      <w:r>
        <w:fldChar w:fldCharType="end"/>
      </w:r>
      <w:r>
        <w:fldChar w:fldCharType="end"/>
      </w:r>
    </w:p>
    <w:p>
      <w:pPr>
        <w:pStyle w:val="16"/>
        <w:tabs>
          <w:tab w:val="right" w:leader="dot" w:pos="9174"/>
        </w:tabs>
        <w:rPr>
          <w:rFonts w:asciiTheme="minorHAnsi" w:hAnsiTheme="minorHAnsi" w:eastAsiaTheme="minorEastAsia" w:cstheme="minorBidi"/>
          <w:szCs w:val="22"/>
        </w:rPr>
      </w:pPr>
      <w:r>
        <w:fldChar w:fldCharType="begin"/>
      </w:r>
      <w:r>
        <w:instrText xml:space="preserve"> HYPERLINK \l "_Toc19880434" </w:instrText>
      </w:r>
      <w:r>
        <w:fldChar w:fldCharType="separate"/>
      </w:r>
      <w:r>
        <w:rPr>
          <w:rStyle w:val="21"/>
          <w:rFonts w:hint="eastAsia"/>
          <w:kern w:val="0"/>
        </w:rPr>
        <w:t>附件</w:t>
      </w:r>
      <w:r>
        <w:rPr>
          <w:rStyle w:val="21"/>
          <w:kern w:val="0"/>
        </w:rPr>
        <w:t>4</w:t>
      </w:r>
      <w:r>
        <w:rPr>
          <w:rStyle w:val="21"/>
          <w:rFonts w:hint="eastAsia"/>
          <w:kern w:val="0"/>
        </w:rPr>
        <w:t>：</w:t>
      </w:r>
      <w:r>
        <w:tab/>
      </w:r>
      <w:r>
        <w:fldChar w:fldCharType="begin"/>
      </w:r>
      <w:r>
        <w:instrText xml:space="preserve"> PAGEREF _Toc19880434 \h </w:instrText>
      </w:r>
      <w:r>
        <w:fldChar w:fldCharType="separate"/>
      </w:r>
      <w:r>
        <w:t>45</w:t>
      </w:r>
      <w:r>
        <w:fldChar w:fldCharType="end"/>
      </w:r>
      <w:r>
        <w:fldChar w:fldCharType="end"/>
      </w:r>
    </w:p>
    <w:p>
      <w:pPr>
        <w:pStyle w:val="16"/>
        <w:tabs>
          <w:tab w:val="right" w:leader="dot" w:pos="9174"/>
        </w:tabs>
        <w:rPr>
          <w:rFonts w:asciiTheme="minorHAnsi" w:hAnsiTheme="minorHAnsi" w:eastAsiaTheme="minorEastAsia" w:cstheme="minorBidi"/>
          <w:szCs w:val="22"/>
        </w:rPr>
      </w:pPr>
      <w:r>
        <w:fldChar w:fldCharType="begin"/>
      </w:r>
      <w:r>
        <w:instrText xml:space="preserve"> HYPERLINK \l "_Toc19880435" </w:instrText>
      </w:r>
      <w:r>
        <w:fldChar w:fldCharType="separate"/>
      </w:r>
      <w:r>
        <w:rPr>
          <w:rStyle w:val="21"/>
          <w:rFonts w:hint="eastAsia"/>
          <w:kern w:val="0"/>
        </w:rPr>
        <w:t>附件</w:t>
      </w:r>
      <w:r>
        <w:rPr>
          <w:rStyle w:val="21"/>
          <w:kern w:val="0"/>
        </w:rPr>
        <w:t>5</w:t>
      </w:r>
      <w:r>
        <w:tab/>
      </w:r>
      <w:r>
        <w:fldChar w:fldCharType="begin"/>
      </w:r>
      <w:r>
        <w:instrText xml:space="preserve"> PAGEREF _Toc19880435 \h </w:instrText>
      </w:r>
      <w:r>
        <w:fldChar w:fldCharType="separate"/>
      </w:r>
      <w:r>
        <w:t>47</w:t>
      </w:r>
      <w:r>
        <w:fldChar w:fldCharType="end"/>
      </w:r>
      <w:r>
        <w:fldChar w:fldCharType="end"/>
      </w:r>
    </w:p>
    <w:p>
      <w:pPr>
        <w:pStyle w:val="16"/>
        <w:tabs>
          <w:tab w:val="right" w:leader="dot" w:pos="9174"/>
        </w:tabs>
        <w:rPr>
          <w:rFonts w:asciiTheme="minorHAnsi" w:hAnsiTheme="minorHAnsi" w:eastAsiaTheme="minorEastAsia" w:cstheme="minorBidi"/>
          <w:szCs w:val="22"/>
        </w:rPr>
      </w:pPr>
      <w:r>
        <w:fldChar w:fldCharType="begin"/>
      </w:r>
      <w:r>
        <w:instrText xml:space="preserve"> HYPERLINK \l "_Toc19880436" </w:instrText>
      </w:r>
      <w:r>
        <w:fldChar w:fldCharType="separate"/>
      </w:r>
      <w:r>
        <w:rPr>
          <w:rStyle w:val="21"/>
          <w:rFonts w:hint="eastAsia"/>
          <w:kern w:val="0"/>
        </w:rPr>
        <w:t>附件</w:t>
      </w:r>
      <w:r>
        <w:rPr>
          <w:rStyle w:val="21"/>
          <w:kern w:val="0"/>
        </w:rPr>
        <w:t>6</w:t>
      </w:r>
      <w:r>
        <w:tab/>
      </w:r>
      <w:r>
        <w:fldChar w:fldCharType="begin"/>
      </w:r>
      <w:r>
        <w:instrText xml:space="preserve"> PAGEREF _Toc19880436 \h </w:instrText>
      </w:r>
      <w:r>
        <w:fldChar w:fldCharType="separate"/>
      </w:r>
      <w:r>
        <w:t>49</w:t>
      </w:r>
      <w:r>
        <w:fldChar w:fldCharType="end"/>
      </w:r>
      <w:r>
        <w:fldChar w:fldCharType="end"/>
      </w:r>
    </w:p>
    <w:p>
      <w:pPr>
        <w:pStyle w:val="16"/>
        <w:tabs>
          <w:tab w:val="right" w:leader="dot" w:pos="9174"/>
        </w:tabs>
        <w:rPr>
          <w:rFonts w:asciiTheme="minorHAnsi" w:hAnsiTheme="minorHAnsi" w:eastAsiaTheme="minorEastAsia" w:cstheme="minorBidi"/>
          <w:szCs w:val="22"/>
        </w:rPr>
      </w:pPr>
      <w:r>
        <w:fldChar w:fldCharType="begin"/>
      </w:r>
      <w:r>
        <w:instrText xml:space="preserve"> HYPERLINK \l "_Toc19880437" </w:instrText>
      </w:r>
      <w:r>
        <w:fldChar w:fldCharType="separate"/>
      </w:r>
      <w:r>
        <w:rPr>
          <w:rStyle w:val="21"/>
          <w:rFonts w:hint="eastAsia"/>
          <w:kern w:val="0"/>
        </w:rPr>
        <w:t>附件</w:t>
      </w:r>
      <w:r>
        <w:rPr>
          <w:rStyle w:val="21"/>
          <w:kern w:val="0"/>
        </w:rPr>
        <w:t>7</w:t>
      </w:r>
      <w:r>
        <w:rPr>
          <w:rStyle w:val="21"/>
          <w:rFonts w:hint="eastAsia"/>
          <w:kern w:val="0"/>
        </w:rPr>
        <w:t>：</w:t>
      </w:r>
      <w:r>
        <w:tab/>
      </w:r>
      <w:r>
        <w:fldChar w:fldCharType="begin"/>
      </w:r>
      <w:r>
        <w:instrText xml:space="preserve"> PAGEREF _Toc19880437 \h </w:instrText>
      </w:r>
      <w:r>
        <w:fldChar w:fldCharType="separate"/>
      </w:r>
      <w:r>
        <w:t>50</w:t>
      </w:r>
      <w:r>
        <w:fldChar w:fldCharType="end"/>
      </w:r>
      <w:r>
        <w:fldChar w:fldCharType="end"/>
      </w:r>
    </w:p>
    <w:p>
      <w:pPr>
        <w:pStyle w:val="16"/>
        <w:tabs>
          <w:tab w:val="right" w:leader="dot" w:pos="9174"/>
        </w:tabs>
        <w:rPr>
          <w:rFonts w:asciiTheme="minorHAnsi" w:hAnsiTheme="minorHAnsi" w:eastAsiaTheme="minorEastAsia" w:cstheme="minorBidi"/>
          <w:szCs w:val="22"/>
        </w:rPr>
      </w:pPr>
      <w:r>
        <w:fldChar w:fldCharType="begin"/>
      </w:r>
      <w:r>
        <w:instrText xml:space="preserve"> HYPERLINK \l "_Toc19880438" </w:instrText>
      </w:r>
      <w:r>
        <w:fldChar w:fldCharType="separate"/>
      </w:r>
      <w:r>
        <w:rPr>
          <w:rStyle w:val="21"/>
          <w:rFonts w:hint="eastAsia"/>
          <w:kern w:val="0"/>
        </w:rPr>
        <w:t>附件</w:t>
      </w:r>
      <w:r>
        <w:rPr>
          <w:rStyle w:val="21"/>
          <w:kern w:val="0"/>
        </w:rPr>
        <w:t>8:</w:t>
      </w:r>
      <w:r>
        <w:tab/>
      </w:r>
      <w:r>
        <w:fldChar w:fldCharType="begin"/>
      </w:r>
      <w:r>
        <w:instrText xml:space="preserve"> PAGEREF _Toc19880438 \h </w:instrText>
      </w:r>
      <w:r>
        <w:fldChar w:fldCharType="separate"/>
      </w:r>
      <w:r>
        <w:t>51</w:t>
      </w:r>
      <w:r>
        <w:fldChar w:fldCharType="end"/>
      </w:r>
      <w:r>
        <w:fldChar w:fldCharType="end"/>
      </w:r>
    </w:p>
    <w:p>
      <w:pPr>
        <w:pStyle w:val="16"/>
        <w:tabs>
          <w:tab w:val="right" w:leader="dot" w:pos="9174"/>
        </w:tabs>
        <w:rPr>
          <w:rFonts w:asciiTheme="minorHAnsi" w:hAnsiTheme="minorHAnsi" w:eastAsiaTheme="minorEastAsia" w:cstheme="minorBidi"/>
          <w:szCs w:val="22"/>
        </w:rPr>
      </w:pPr>
      <w:r>
        <w:fldChar w:fldCharType="begin"/>
      </w:r>
      <w:r>
        <w:instrText xml:space="preserve"> HYPERLINK \l "_Toc19880439" </w:instrText>
      </w:r>
      <w:r>
        <w:fldChar w:fldCharType="separate"/>
      </w:r>
      <w:r>
        <w:rPr>
          <w:rStyle w:val="21"/>
          <w:rFonts w:hint="eastAsia"/>
          <w:kern w:val="0"/>
        </w:rPr>
        <w:t>附件</w:t>
      </w:r>
      <w:r>
        <w:rPr>
          <w:rStyle w:val="21"/>
          <w:kern w:val="0"/>
        </w:rPr>
        <w:t>:9</w:t>
      </w:r>
      <w:r>
        <w:tab/>
      </w:r>
      <w:r>
        <w:fldChar w:fldCharType="begin"/>
      </w:r>
      <w:r>
        <w:instrText xml:space="preserve"> PAGEREF _Toc19880439 \h </w:instrText>
      </w:r>
      <w:r>
        <w:fldChar w:fldCharType="separate"/>
      </w:r>
      <w:r>
        <w:t>52</w:t>
      </w:r>
      <w:r>
        <w:fldChar w:fldCharType="end"/>
      </w:r>
      <w:r>
        <w:fldChar w:fldCharType="end"/>
      </w:r>
    </w:p>
    <w:p>
      <w:pPr>
        <w:pStyle w:val="16"/>
        <w:tabs>
          <w:tab w:val="right" w:leader="dot" w:pos="9174"/>
        </w:tabs>
        <w:rPr>
          <w:rFonts w:asciiTheme="minorHAnsi" w:hAnsiTheme="minorHAnsi" w:eastAsiaTheme="minorEastAsia" w:cstheme="minorBidi"/>
          <w:szCs w:val="22"/>
        </w:rPr>
      </w:pPr>
      <w:r>
        <w:fldChar w:fldCharType="begin"/>
      </w:r>
      <w:r>
        <w:instrText xml:space="preserve"> HYPERLINK \l "_Toc19880440" </w:instrText>
      </w:r>
      <w:r>
        <w:fldChar w:fldCharType="separate"/>
      </w:r>
      <w:r>
        <w:rPr>
          <w:rStyle w:val="21"/>
          <w:rFonts w:hint="eastAsia"/>
          <w:kern w:val="0"/>
        </w:rPr>
        <w:t>附件</w:t>
      </w:r>
      <w:r>
        <w:rPr>
          <w:rStyle w:val="21"/>
          <w:kern w:val="0"/>
        </w:rPr>
        <w:t>10</w:t>
      </w:r>
      <w:r>
        <w:tab/>
      </w:r>
      <w:r>
        <w:fldChar w:fldCharType="begin"/>
      </w:r>
      <w:r>
        <w:instrText xml:space="preserve"> PAGEREF _Toc19880440 \h </w:instrText>
      </w:r>
      <w:r>
        <w:fldChar w:fldCharType="separate"/>
      </w:r>
      <w:r>
        <w:t>54</w:t>
      </w:r>
      <w:r>
        <w:fldChar w:fldCharType="end"/>
      </w:r>
      <w:r>
        <w:fldChar w:fldCharType="end"/>
      </w:r>
    </w:p>
    <w:p>
      <w:pPr>
        <w:pStyle w:val="16"/>
        <w:tabs>
          <w:tab w:val="right" w:leader="dot" w:pos="9174"/>
        </w:tabs>
        <w:rPr>
          <w:rFonts w:asciiTheme="minorHAnsi" w:hAnsiTheme="minorHAnsi" w:eastAsiaTheme="minorEastAsia" w:cstheme="minorBidi"/>
          <w:szCs w:val="22"/>
        </w:rPr>
      </w:pPr>
      <w:r>
        <w:fldChar w:fldCharType="begin"/>
      </w:r>
      <w:r>
        <w:instrText xml:space="preserve"> HYPERLINK \l "_Toc19880441" </w:instrText>
      </w:r>
      <w:r>
        <w:fldChar w:fldCharType="separate"/>
      </w:r>
      <w:r>
        <w:rPr>
          <w:rStyle w:val="21"/>
          <w:rFonts w:hint="eastAsia"/>
          <w:kern w:val="0"/>
        </w:rPr>
        <w:t>附件</w:t>
      </w:r>
      <w:r>
        <w:rPr>
          <w:rStyle w:val="21"/>
          <w:kern w:val="0"/>
        </w:rPr>
        <w:t>11</w:t>
      </w:r>
      <w:r>
        <w:tab/>
      </w:r>
      <w:r>
        <w:fldChar w:fldCharType="begin"/>
      </w:r>
      <w:r>
        <w:instrText xml:space="preserve"> PAGEREF _Toc19880441 \h </w:instrText>
      </w:r>
      <w:r>
        <w:fldChar w:fldCharType="separate"/>
      </w:r>
      <w:r>
        <w:t>55</w:t>
      </w:r>
      <w:r>
        <w:fldChar w:fldCharType="end"/>
      </w:r>
      <w:r>
        <w:fldChar w:fldCharType="end"/>
      </w:r>
    </w:p>
    <w:p>
      <w:pPr>
        <w:pStyle w:val="16"/>
        <w:tabs>
          <w:tab w:val="right" w:leader="dot" w:pos="9174"/>
        </w:tabs>
        <w:rPr>
          <w:rFonts w:asciiTheme="minorHAnsi" w:hAnsiTheme="minorHAnsi" w:eastAsiaTheme="minorEastAsia" w:cstheme="minorBidi"/>
          <w:szCs w:val="22"/>
        </w:rPr>
      </w:pPr>
      <w:r>
        <w:fldChar w:fldCharType="begin"/>
      </w:r>
      <w:r>
        <w:instrText xml:space="preserve"> HYPERLINK \l "_Toc19880442" </w:instrText>
      </w:r>
      <w:r>
        <w:fldChar w:fldCharType="separate"/>
      </w:r>
      <w:r>
        <w:rPr>
          <w:rStyle w:val="21"/>
          <w:rFonts w:hint="eastAsia" w:asciiTheme="majorEastAsia" w:hAnsiTheme="majorEastAsia"/>
        </w:rPr>
        <w:t>附件</w:t>
      </w:r>
      <w:r>
        <w:rPr>
          <w:rStyle w:val="21"/>
          <w:rFonts w:asciiTheme="majorEastAsia" w:hAnsiTheme="majorEastAsia"/>
        </w:rPr>
        <w:t>12</w:t>
      </w:r>
      <w:r>
        <w:tab/>
      </w:r>
      <w:r>
        <w:fldChar w:fldCharType="begin"/>
      </w:r>
      <w:r>
        <w:instrText xml:space="preserve"> PAGEREF _Toc19880442 \h </w:instrText>
      </w:r>
      <w:r>
        <w:fldChar w:fldCharType="separate"/>
      </w:r>
      <w:r>
        <w:t>71</w:t>
      </w:r>
      <w:r>
        <w:fldChar w:fldCharType="end"/>
      </w:r>
      <w:r>
        <w:fldChar w:fldCharType="end"/>
      </w:r>
    </w:p>
    <w:p>
      <w:pPr>
        <w:pStyle w:val="2"/>
        <w:rPr>
          <w:rFonts w:hint="eastAsia"/>
        </w:rPr>
      </w:pPr>
      <w:r>
        <w:fldChar w:fldCharType="end"/>
      </w:r>
    </w:p>
    <w:p>
      <w:pPr>
        <w:widowControl/>
        <w:jc w:val="left"/>
        <w:rPr>
          <w:sz w:val="24"/>
        </w:rPr>
      </w:pPr>
      <w:r>
        <w:br w:type="page"/>
      </w:r>
    </w:p>
    <w:p>
      <w:pPr>
        <w:pStyle w:val="3"/>
        <w:jc w:val="center"/>
        <w:rPr>
          <w:rFonts w:hint="eastAsia"/>
        </w:rPr>
      </w:pPr>
      <w:bookmarkStart w:id="0" w:name="_Toc19880414"/>
      <w:r>
        <w:rPr>
          <w:rFonts w:hint="eastAsia"/>
        </w:rPr>
        <w:t>第一章招标公告</w:t>
      </w:r>
      <w:bookmarkEnd w:id="0"/>
    </w:p>
    <w:p>
      <w:pPr>
        <w:tabs>
          <w:tab w:val="left" w:pos="180"/>
          <w:tab w:val="left" w:pos="360"/>
          <w:tab w:val="left" w:pos="540"/>
          <w:tab w:val="left" w:pos="8280"/>
        </w:tabs>
        <w:autoSpaceDE w:val="0"/>
        <w:autoSpaceDN w:val="0"/>
        <w:adjustRightInd w:val="0"/>
        <w:spacing w:line="360" w:lineRule="auto"/>
        <w:ind w:right="23" w:firstLine="539"/>
        <w:jc w:val="left"/>
        <w:rPr>
          <w:rFonts w:ascii="宋体" w:hAnsi="宋体" w:cs="宋体"/>
          <w:kern w:val="0"/>
          <w:sz w:val="24"/>
        </w:rPr>
      </w:pPr>
      <w:r>
        <w:rPr>
          <w:rFonts w:hint="eastAsia" w:ascii="宋体" w:hAnsi="宋体"/>
          <w:kern w:val="0"/>
          <w:sz w:val="24"/>
        </w:rPr>
        <w:t>根据《中华人民共和国政府采购法》、《中华人民共和国政府采购法实施条例》和财政部令第87号《政府采购货物和服务招标投标管理办法》等有关规定</w:t>
      </w:r>
      <w:r>
        <w:rPr>
          <w:rFonts w:ascii="宋体" w:hAnsi="宋体"/>
          <w:kern w:val="0"/>
          <w:sz w:val="24"/>
        </w:rPr>
        <w:t xml:space="preserve">, </w:t>
      </w:r>
      <w:r>
        <w:rPr>
          <w:rFonts w:hint="eastAsia" w:ascii="宋体" w:hAnsi="宋体"/>
          <w:kern w:val="0"/>
          <w:sz w:val="24"/>
        </w:rPr>
        <w:t>受采购人委托，</w:t>
      </w:r>
      <w:r>
        <w:rPr>
          <w:rFonts w:hint="eastAsia" w:ascii="宋体" w:hAnsi="宋体" w:cs="宋体"/>
          <w:kern w:val="0"/>
          <w:sz w:val="24"/>
        </w:rPr>
        <w:t>现就</w:t>
      </w:r>
      <w:r>
        <w:rPr>
          <w:rFonts w:hint="eastAsia" w:ascii="宋体" w:hAnsi="宋体" w:cs="宋体"/>
          <w:kern w:val="0"/>
          <w:sz w:val="24"/>
          <w:u w:val="single"/>
        </w:rPr>
        <w:t>国网三门县供电公司物流中心标准化仓库弱电及排烟系统改造项目</w:t>
      </w:r>
      <w:r>
        <w:rPr>
          <w:rFonts w:hint="eastAsia" w:ascii="宋体" w:hAnsi="宋体" w:cs="宋体"/>
          <w:kern w:val="0"/>
          <w:sz w:val="24"/>
        </w:rPr>
        <w:t>进行公开招标采购，欢迎符合条件的潜在投标人参加本项目投标。</w:t>
      </w:r>
    </w:p>
    <w:p>
      <w:pPr>
        <w:tabs>
          <w:tab w:val="left" w:pos="180"/>
          <w:tab w:val="left" w:pos="360"/>
          <w:tab w:val="left" w:pos="540"/>
          <w:tab w:val="left" w:pos="8280"/>
        </w:tabs>
        <w:autoSpaceDE w:val="0"/>
        <w:autoSpaceDN w:val="0"/>
        <w:adjustRightInd w:val="0"/>
        <w:spacing w:line="360" w:lineRule="auto"/>
        <w:ind w:right="23"/>
        <w:jc w:val="left"/>
        <w:rPr>
          <w:rFonts w:ascii="宋体" w:hAnsi="宋体"/>
          <w:kern w:val="0"/>
          <w:sz w:val="24"/>
        </w:rPr>
      </w:pPr>
      <w:r>
        <w:rPr>
          <w:rFonts w:hint="eastAsia" w:ascii="宋体" w:hAnsi="宋体"/>
          <w:b/>
          <w:kern w:val="0"/>
          <w:sz w:val="24"/>
        </w:rPr>
        <w:t>一、项目编号：三拓展-2019-</w:t>
      </w:r>
      <w:r>
        <w:rPr>
          <w:rFonts w:hint="eastAsia" w:ascii="宋体" w:hAnsi="宋体"/>
          <w:b/>
          <w:kern w:val="0"/>
          <w:sz w:val="24"/>
          <w:lang w:val="en-US" w:eastAsia="zh-CN"/>
        </w:rPr>
        <w:t>037</w:t>
      </w:r>
      <w:r>
        <w:rPr>
          <w:rFonts w:hint="eastAsia" w:ascii="宋体" w:hAnsi="宋体"/>
          <w:b/>
          <w:kern w:val="0"/>
          <w:sz w:val="24"/>
        </w:rPr>
        <w:t>号</w:t>
      </w:r>
    </w:p>
    <w:p>
      <w:pPr>
        <w:tabs>
          <w:tab w:val="left" w:pos="180"/>
          <w:tab w:val="left" w:pos="360"/>
          <w:tab w:val="left" w:pos="540"/>
          <w:tab w:val="left" w:pos="8280"/>
        </w:tabs>
        <w:autoSpaceDE w:val="0"/>
        <w:autoSpaceDN w:val="0"/>
        <w:adjustRightInd w:val="0"/>
        <w:spacing w:line="360" w:lineRule="auto"/>
        <w:ind w:right="23"/>
        <w:jc w:val="left"/>
        <w:rPr>
          <w:rFonts w:ascii="宋体" w:hAnsi="宋体"/>
          <w:b/>
          <w:kern w:val="0"/>
          <w:sz w:val="24"/>
        </w:rPr>
      </w:pPr>
      <w:bookmarkStart w:id="1" w:name="_Toc240724366"/>
      <w:bookmarkStart w:id="2" w:name="_Toc283973051"/>
      <w:bookmarkStart w:id="3" w:name="_Toc240724181"/>
      <w:bookmarkStart w:id="4" w:name="_Toc239128658"/>
      <w:bookmarkStart w:id="5" w:name="_Toc240724031"/>
      <w:bookmarkStart w:id="6" w:name="_Toc290043087"/>
      <w:bookmarkStart w:id="7" w:name="_Toc248896174"/>
      <w:bookmarkStart w:id="8" w:name="_Toc238443287"/>
      <w:bookmarkStart w:id="9" w:name="_Toc277078923"/>
      <w:bookmarkStart w:id="10" w:name="_Toc302983071"/>
      <w:bookmarkStart w:id="11" w:name="_Toc237138375"/>
      <w:bookmarkStart w:id="12" w:name="_Toc306901423"/>
      <w:bookmarkStart w:id="13" w:name="_Toc218007229"/>
      <w:bookmarkStart w:id="14" w:name="_Toc248896333"/>
      <w:bookmarkStart w:id="15" w:name="_Toc261001046"/>
      <w:bookmarkStart w:id="16" w:name="_Toc504136795"/>
      <w:bookmarkStart w:id="17" w:name="_Toc237079651"/>
      <w:bookmarkStart w:id="18" w:name="_Toc261001138"/>
      <w:bookmarkStart w:id="19" w:name="_Toc237656252"/>
      <w:bookmarkStart w:id="20" w:name="_Toc217998400"/>
      <w:bookmarkStart w:id="21" w:name="_Toc255819807"/>
      <w:bookmarkStart w:id="22" w:name="_Toc292375875"/>
      <w:bookmarkStart w:id="23" w:name="_Toc301444166"/>
      <w:bookmarkStart w:id="24" w:name="_Toc255821801"/>
      <w:bookmarkStart w:id="25" w:name="_Toc218007960"/>
      <w:bookmarkStart w:id="26" w:name="_Toc248896026"/>
      <w:bookmarkStart w:id="27" w:name="_Toc255459623"/>
      <w:r>
        <w:rPr>
          <w:rFonts w:hint="eastAsia" w:ascii="宋体" w:hAnsi="宋体"/>
          <w:b/>
          <w:kern w:val="0"/>
          <w:sz w:val="24"/>
        </w:rPr>
        <w:t>二、招标项目概况（内容、用途、数量、简要技术要求等）:</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Start w:id="28" w:name="B10_招标内容"/>
      <w:bookmarkEnd w:id="28"/>
    </w:p>
    <w:tbl>
      <w:tblPr>
        <w:tblStyle w:val="18"/>
        <w:tblW w:w="8715" w:type="dxa"/>
        <w:jc w:val="center"/>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742"/>
        <w:gridCol w:w="765"/>
        <w:gridCol w:w="810"/>
        <w:gridCol w:w="1455"/>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992" w:type="dxa"/>
            <w:vAlign w:val="center"/>
          </w:tcPr>
          <w:p>
            <w:pPr>
              <w:tabs>
                <w:tab w:val="left" w:pos="8280"/>
              </w:tabs>
              <w:autoSpaceDE w:val="0"/>
              <w:autoSpaceDN w:val="0"/>
              <w:adjustRightInd w:val="0"/>
              <w:ind w:right="25"/>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标段号</w:t>
            </w:r>
          </w:p>
        </w:tc>
        <w:tc>
          <w:tcPr>
            <w:tcW w:w="2742" w:type="dxa"/>
            <w:vAlign w:val="center"/>
          </w:tcPr>
          <w:p>
            <w:pPr>
              <w:tabs>
                <w:tab w:val="left" w:pos="8280"/>
              </w:tabs>
              <w:autoSpaceDE w:val="0"/>
              <w:autoSpaceDN w:val="0"/>
              <w:adjustRightInd w:val="0"/>
              <w:ind w:right="25"/>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项目名称</w:t>
            </w:r>
          </w:p>
        </w:tc>
        <w:tc>
          <w:tcPr>
            <w:tcW w:w="765" w:type="dxa"/>
            <w:vAlign w:val="center"/>
          </w:tcPr>
          <w:p>
            <w:pPr>
              <w:tabs>
                <w:tab w:val="left" w:pos="8280"/>
              </w:tabs>
              <w:autoSpaceDE w:val="0"/>
              <w:autoSpaceDN w:val="0"/>
              <w:adjustRightInd w:val="0"/>
              <w:ind w:right="25"/>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数量</w:t>
            </w:r>
          </w:p>
        </w:tc>
        <w:tc>
          <w:tcPr>
            <w:tcW w:w="810" w:type="dxa"/>
            <w:vAlign w:val="center"/>
          </w:tcPr>
          <w:p>
            <w:pPr>
              <w:tabs>
                <w:tab w:val="left" w:pos="8280"/>
              </w:tabs>
              <w:autoSpaceDE w:val="0"/>
              <w:autoSpaceDN w:val="0"/>
              <w:adjustRightInd w:val="0"/>
              <w:ind w:right="25"/>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单位</w:t>
            </w:r>
          </w:p>
        </w:tc>
        <w:tc>
          <w:tcPr>
            <w:tcW w:w="1455" w:type="dxa"/>
            <w:vAlign w:val="center"/>
          </w:tcPr>
          <w:p>
            <w:pPr>
              <w:tabs>
                <w:tab w:val="left" w:pos="8280"/>
              </w:tabs>
              <w:autoSpaceDE w:val="0"/>
              <w:autoSpaceDN w:val="0"/>
              <w:adjustRightInd w:val="0"/>
              <w:ind w:right="25"/>
              <w:jc w:val="center"/>
              <w:rPr>
                <w:rFonts w:asciiTheme="minorEastAsia" w:hAnsiTheme="minorEastAsia" w:eastAsiaTheme="minorEastAsia"/>
                <w:b/>
                <w:sz w:val="24"/>
              </w:rPr>
            </w:pPr>
            <w:r>
              <w:rPr>
                <w:rFonts w:hint="eastAsia" w:asciiTheme="minorEastAsia" w:hAnsiTheme="minorEastAsia" w:eastAsiaTheme="minorEastAsia"/>
                <w:b/>
                <w:sz w:val="24"/>
              </w:rPr>
              <w:t>预算（万元）</w:t>
            </w:r>
          </w:p>
        </w:tc>
        <w:tc>
          <w:tcPr>
            <w:tcW w:w="1951" w:type="dxa"/>
            <w:vAlign w:val="center"/>
          </w:tcPr>
          <w:p>
            <w:pPr>
              <w:tabs>
                <w:tab w:val="left" w:pos="8280"/>
              </w:tabs>
              <w:autoSpaceDE w:val="0"/>
              <w:autoSpaceDN w:val="0"/>
              <w:adjustRightInd w:val="0"/>
              <w:ind w:right="25" w:firstLine="240"/>
              <w:jc w:val="center"/>
              <w:rPr>
                <w:rFonts w:asciiTheme="minorEastAsia" w:hAnsiTheme="minorEastAsia" w:eastAsiaTheme="minorEastAsia"/>
                <w:b/>
                <w:sz w:val="24"/>
              </w:rPr>
            </w:pPr>
            <w:r>
              <w:rPr>
                <w:rFonts w:hint="eastAsia" w:asciiTheme="minorEastAsia" w:hAnsiTheme="minorEastAsia" w:eastAsiaTheme="minorEastAsia"/>
                <w:b/>
                <w:sz w:val="24"/>
              </w:rPr>
              <w:t>工</w:t>
            </w:r>
            <w:r>
              <w:rPr>
                <w:rFonts w:asciiTheme="minorEastAsia" w:hAnsiTheme="minorEastAsia" w:eastAsiaTheme="minorEastAsia"/>
                <w:b/>
                <w:sz w:val="24"/>
              </w:rPr>
              <w:t>期</w:t>
            </w:r>
          </w:p>
          <w:p>
            <w:pPr>
              <w:tabs>
                <w:tab w:val="left" w:pos="8280"/>
              </w:tabs>
              <w:autoSpaceDE w:val="0"/>
              <w:autoSpaceDN w:val="0"/>
              <w:adjustRightInd w:val="0"/>
              <w:ind w:right="25"/>
              <w:jc w:val="center"/>
              <w:rPr>
                <w:rFonts w:asciiTheme="minorEastAsia" w:hAnsiTheme="minorEastAsia" w:eastAsiaTheme="minorEastAsia"/>
                <w:b/>
                <w:sz w:val="24"/>
              </w:rPr>
            </w:pPr>
            <w:r>
              <w:rPr>
                <w:rFonts w:hint="eastAsia" w:asciiTheme="minorEastAsia" w:hAnsiTheme="minorEastAsia" w:eastAsiaTheme="minorEastAsia"/>
                <w:b/>
                <w:sz w:val="24"/>
              </w:rPr>
              <w:t>（合同签订后）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992" w:type="dxa"/>
            <w:vAlign w:val="center"/>
          </w:tcPr>
          <w:p>
            <w:pPr>
              <w:tabs>
                <w:tab w:val="left" w:pos="8280"/>
              </w:tabs>
              <w:autoSpaceDE w:val="0"/>
              <w:autoSpaceDN w:val="0"/>
              <w:adjustRightInd w:val="0"/>
              <w:ind w:right="25"/>
              <w:jc w:val="center"/>
              <w:rPr>
                <w:rFonts w:asciiTheme="minorEastAsia" w:hAnsiTheme="minorEastAsia" w:eastAsiaTheme="minorEastAsia"/>
                <w:color w:val="FF0000"/>
                <w:sz w:val="24"/>
              </w:rPr>
            </w:pPr>
            <w:r>
              <w:rPr>
                <w:rFonts w:hint="eastAsia" w:asciiTheme="minorEastAsia" w:hAnsiTheme="minorEastAsia" w:eastAsiaTheme="minorEastAsia"/>
                <w:color w:val="auto"/>
                <w:sz w:val="24"/>
              </w:rPr>
              <w:t>1</w:t>
            </w:r>
          </w:p>
        </w:tc>
        <w:tc>
          <w:tcPr>
            <w:tcW w:w="2742"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4"/>
              </w:rPr>
            </w:pPr>
            <w:r>
              <w:rPr>
                <w:rFonts w:hint="eastAsia" w:ascii="宋体" w:hAnsi="宋体" w:cs="宋体"/>
                <w:color w:val="auto"/>
                <w:kern w:val="0"/>
                <w:sz w:val="24"/>
              </w:rPr>
              <w:t>国网三门县供电公司物流中心标准化仓库弱电及排烟系统改造项目</w:t>
            </w:r>
          </w:p>
        </w:tc>
        <w:tc>
          <w:tcPr>
            <w:tcW w:w="765"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c>
          <w:tcPr>
            <w:tcW w:w="810" w:type="dxa"/>
            <w:vAlign w:val="center"/>
          </w:tcPr>
          <w:p>
            <w:pPr>
              <w:widowControl/>
              <w:jc w:val="center"/>
              <w:rPr>
                <w:rFonts w:asciiTheme="minorEastAsia" w:hAnsiTheme="minorEastAsia" w:eastAsiaTheme="minorEastAsia"/>
                <w:color w:val="auto"/>
                <w:sz w:val="24"/>
              </w:rPr>
            </w:pPr>
            <w:r>
              <w:rPr>
                <w:rFonts w:asciiTheme="minorEastAsia" w:hAnsiTheme="minorEastAsia" w:eastAsiaTheme="minorEastAsia"/>
                <w:color w:val="auto"/>
                <w:sz w:val="24"/>
              </w:rPr>
              <w:t>项</w:t>
            </w:r>
          </w:p>
        </w:tc>
        <w:tc>
          <w:tcPr>
            <w:tcW w:w="1455"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4"/>
              </w:rPr>
            </w:pPr>
            <w:r>
              <w:rPr>
                <w:rFonts w:asciiTheme="minorEastAsia" w:hAnsiTheme="minorEastAsia" w:eastAsiaTheme="minorEastAsia"/>
                <w:color w:val="auto"/>
                <w:sz w:val="24"/>
              </w:rPr>
              <w:t>90</w:t>
            </w:r>
          </w:p>
        </w:tc>
        <w:tc>
          <w:tcPr>
            <w:tcW w:w="1951"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60天</w:t>
            </w:r>
          </w:p>
        </w:tc>
      </w:tr>
    </w:tbl>
    <w:p>
      <w:pPr>
        <w:tabs>
          <w:tab w:val="left" w:pos="180"/>
          <w:tab w:val="left" w:pos="360"/>
          <w:tab w:val="left" w:pos="540"/>
          <w:tab w:val="left" w:pos="8280"/>
        </w:tabs>
        <w:autoSpaceDE w:val="0"/>
        <w:autoSpaceDN w:val="0"/>
        <w:adjustRightInd w:val="0"/>
        <w:spacing w:line="360" w:lineRule="auto"/>
        <w:ind w:right="23"/>
        <w:jc w:val="left"/>
        <w:rPr>
          <w:rFonts w:ascii="宋体" w:hAnsi="宋体"/>
          <w:b/>
          <w:kern w:val="0"/>
          <w:sz w:val="24"/>
        </w:rPr>
      </w:pPr>
      <w:r>
        <w:rPr>
          <w:rFonts w:hint="eastAsia" w:ascii="宋体" w:hAnsi="宋体"/>
          <w:b/>
          <w:sz w:val="24"/>
        </w:rPr>
        <w:t>三、合格投标人的资格条件：</w:t>
      </w:r>
    </w:p>
    <w:p>
      <w:pPr>
        <w:snapToGrid w:val="0"/>
        <w:spacing w:line="360" w:lineRule="auto"/>
        <w:ind w:firstLine="480" w:firstLineChars="200"/>
        <w:rPr>
          <w:rFonts w:hint="eastAsia" w:ascii="宋体" w:hAnsi="宋体" w:cs="Arial"/>
          <w:sz w:val="24"/>
        </w:rPr>
      </w:pPr>
      <w:r>
        <w:rPr>
          <w:rFonts w:hint="eastAsia" w:ascii="宋体" w:hAnsi="宋体" w:cs="Arial"/>
          <w:sz w:val="24"/>
        </w:rPr>
        <w:t>（一）符合《中华人民共和国政府采购法》第二十二条规定的投标供应商资格条件。</w:t>
      </w:r>
    </w:p>
    <w:p>
      <w:pPr>
        <w:pStyle w:val="2"/>
        <w:rPr>
          <w:rFonts w:hint="default" w:eastAsia="宋体"/>
          <w:lang w:val="en-US" w:eastAsia="zh-CN"/>
        </w:rPr>
      </w:pPr>
      <w:r>
        <w:rPr>
          <w:rFonts w:hint="eastAsia" w:ascii="宋体" w:hAnsi="宋体" w:cs="Arial"/>
          <w:sz w:val="24"/>
          <w:lang w:val="en-US" w:eastAsia="zh-CN"/>
        </w:rPr>
        <w:t xml:space="preserve">   </w:t>
      </w:r>
      <w:r>
        <w:rPr>
          <w:rFonts w:hint="eastAsia" w:ascii="宋体" w:hAnsi="宋体" w:eastAsia="宋体" w:cs="Arial"/>
          <w:kern w:val="2"/>
          <w:sz w:val="24"/>
          <w:szCs w:val="24"/>
          <w:lang w:val="en-US" w:eastAsia="zh-CN" w:bidi="ar-SA"/>
        </w:rPr>
        <w:t xml:space="preserve"> </w:t>
      </w:r>
      <w:r>
        <w:rPr>
          <w:rFonts w:hint="eastAsia" w:ascii="宋体" w:hAnsi="宋体" w:cs="Arial"/>
          <w:kern w:val="2"/>
          <w:sz w:val="24"/>
          <w:szCs w:val="24"/>
          <w:lang w:val="en-US" w:eastAsia="zh-CN" w:bidi="ar-SA"/>
        </w:rPr>
        <w:t xml:space="preserve">  </w:t>
      </w:r>
      <w:r>
        <w:rPr>
          <w:rFonts w:hint="eastAsia" w:ascii="宋体" w:hAnsi="宋体" w:eastAsia="宋体" w:cs="Arial"/>
          <w:kern w:val="2"/>
          <w:sz w:val="24"/>
          <w:szCs w:val="24"/>
          <w:lang w:val="en-US" w:eastAsia="zh-CN" w:bidi="ar-SA"/>
        </w:rPr>
        <w:t>①具有独立承担民事责任的能力；</w:t>
      </w:r>
      <w:r>
        <w:rPr>
          <w:rFonts w:hint="eastAsia" w:ascii="宋体" w:hAnsi="宋体" w:eastAsia="宋体" w:cs="Arial"/>
          <w:kern w:val="2"/>
          <w:sz w:val="24"/>
          <w:szCs w:val="24"/>
          <w:lang w:val="en-US" w:eastAsia="zh-CN" w:bidi="ar-SA"/>
        </w:rPr>
        <w:br w:type="textWrapping"/>
      </w:r>
      <w:r>
        <w:rPr>
          <w:rFonts w:hint="eastAsia" w:ascii="宋体" w:hAnsi="宋体" w:eastAsia="宋体" w:cs="Arial"/>
          <w:kern w:val="2"/>
          <w:sz w:val="24"/>
          <w:szCs w:val="24"/>
          <w:lang w:val="en-US" w:eastAsia="zh-CN" w:bidi="ar-SA"/>
        </w:rPr>
        <w:t>　　</w:t>
      </w:r>
      <w:r>
        <w:rPr>
          <w:rFonts w:hint="eastAsia" w:ascii="宋体" w:hAnsi="宋体" w:cs="Arial"/>
          <w:kern w:val="2"/>
          <w:sz w:val="24"/>
          <w:szCs w:val="24"/>
          <w:lang w:val="en-US" w:eastAsia="zh-CN" w:bidi="ar-SA"/>
        </w:rPr>
        <w:t xml:space="preserve">  </w:t>
      </w:r>
      <w:r>
        <w:rPr>
          <w:rFonts w:hint="eastAsia" w:ascii="宋体" w:hAnsi="宋体" w:eastAsia="宋体" w:cs="Arial"/>
          <w:kern w:val="2"/>
          <w:sz w:val="24"/>
          <w:szCs w:val="24"/>
          <w:lang w:val="en-US" w:eastAsia="zh-CN" w:bidi="ar-SA"/>
        </w:rPr>
        <w:t>②具有良好的商业信誉和健全的财务会计制度；</w:t>
      </w:r>
      <w:r>
        <w:rPr>
          <w:rFonts w:hint="eastAsia" w:ascii="宋体" w:hAnsi="宋体" w:eastAsia="宋体" w:cs="Arial"/>
          <w:kern w:val="2"/>
          <w:sz w:val="24"/>
          <w:szCs w:val="24"/>
          <w:lang w:val="en-US" w:eastAsia="zh-CN" w:bidi="ar-SA"/>
        </w:rPr>
        <w:br w:type="textWrapping"/>
      </w:r>
      <w:r>
        <w:rPr>
          <w:rFonts w:hint="eastAsia" w:ascii="宋体" w:hAnsi="宋体" w:eastAsia="宋体" w:cs="Arial"/>
          <w:kern w:val="2"/>
          <w:sz w:val="24"/>
          <w:szCs w:val="24"/>
          <w:lang w:val="en-US" w:eastAsia="zh-CN" w:bidi="ar-SA"/>
        </w:rPr>
        <w:t>　　</w:t>
      </w:r>
      <w:r>
        <w:rPr>
          <w:rFonts w:hint="eastAsia" w:ascii="宋体" w:hAnsi="宋体" w:cs="Arial"/>
          <w:kern w:val="2"/>
          <w:sz w:val="24"/>
          <w:szCs w:val="24"/>
          <w:lang w:val="en-US" w:eastAsia="zh-CN" w:bidi="ar-SA"/>
        </w:rPr>
        <w:t xml:space="preserve">  </w:t>
      </w:r>
      <w:r>
        <w:rPr>
          <w:rFonts w:hint="eastAsia" w:ascii="宋体" w:hAnsi="宋体" w:eastAsia="宋体" w:cs="Arial"/>
          <w:kern w:val="2"/>
          <w:sz w:val="24"/>
          <w:szCs w:val="24"/>
          <w:lang w:val="en-US" w:eastAsia="zh-CN" w:bidi="ar-SA"/>
        </w:rPr>
        <w:t>③具有履行合同所必需的设备和专业技术能力；</w:t>
      </w:r>
      <w:r>
        <w:rPr>
          <w:rFonts w:hint="eastAsia" w:ascii="宋体" w:hAnsi="宋体" w:eastAsia="宋体" w:cs="Arial"/>
          <w:kern w:val="2"/>
          <w:sz w:val="24"/>
          <w:szCs w:val="24"/>
          <w:lang w:val="en-US" w:eastAsia="zh-CN" w:bidi="ar-SA"/>
        </w:rPr>
        <w:br w:type="textWrapping"/>
      </w:r>
      <w:r>
        <w:rPr>
          <w:rFonts w:hint="eastAsia" w:ascii="宋体" w:hAnsi="宋体" w:eastAsia="宋体" w:cs="Arial"/>
          <w:kern w:val="2"/>
          <w:sz w:val="24"/>
          <w:szCs w:val="24"/>
          <w:lang w:val="en-US" w:eastAsia="zh-CN" w:bidi="ar-SA"/>
        </w:rPr>
        <w:t>　</w:t>
      </w:r>
      <w:r>
        <w:rPr>
          <w:rFonts w:hint="eastAsia" w:ascii="宋体" w:hAnsi="宋体" w:cs="Arial"/>
          <w:kern w:val="2"/>
          <w:sz w:val="24"/>
          <w:szCs w:val="24"/>
          <w:lang w:val="en-US" w:eastAsia="zh-CN" w:bidi="ar-SA"/>
        </w:rPr>
        <w:t xml:space="preserve">  </w:t>
      </w:r>
      <w:r>
        <w:rPr>
          <w:rFonts w:hint="eastAsia" w:ascii="宋体" w:hAnsi="宋体" w:eastAsia="宋体" w:cs="Arial"/>
          <w:kern w:val="2"/>
          <w:sz w:val="24"/>
          <w:szCs w:val="24"/>
          <w:lang w:val="en-US" w:eastAsia="zh-CN" w:bidi="ar-SA"/>
        </w:rPr>
        <w:t>　④有依法缴纳</w:t>
      </w:r>
      <w:r>
        <w:rPr>
          <w:rFonts w:hint="eastAsia" w:ascii="宋体" w:hAnsi="宋体" w:eastAsia="宋体" w:cs="Arial"/>
          <w:kern w:val="2"/>
          <w:sz w:val="24"/>
          <w:szCs w:val="24"/>
          <w:lang w:val="en-US" w:eastAsia="zh-CN" w:bidi="ar-SA"/>
        </w:rPr>
        <w:fldChar w:fldCharType="begin"/>
      </w:r>
      <w:r>
        <w:rPr>
          <w:rFonts w:hint="eastAsia" w:ascii="宋体" w:hAnsi="宋体" w:eastAsia="宋体" w:cs="Arial"/>
          <w:kern w:val="2"/>
          <w:sz w:val="24"/>
          <w:szCs w:val="24"/>
          <w:lang w:val="en-US" w:eastAsia="zh-CN" w:bidi="ar-SA"/>
        </w:rPr>
        <w:instrText xml:space="preserve"> HYPERLINK "http://www.so.com/s?q=%E7%A8%8E%E6%94%B6&amp;ie=utf-8&amp;src=internal_wenda_recommend_textn" \t "https://wenda.so.com/q/_blank" </w:instrText>
      </w:r>
      <w:r>
        <w:rPr>
          <w:rFonts w:hint="eastAsia" w:ascii="宋体" w:hAnsi="宋体" w:eastAsia="宋体" w:cs="Arial"/>
          <w:kern w:val="2"/>
          <w:sz w:val="24"/>
          <w:szCs w:val="24"/>
          <w:lang w:val="en-US" w:eastAsia="zh-CN" w:bidi="ar-SA"/>
        </w:rPr>
        <w:fldChar w:fldCharType="separate"/>
      </w:r>
      <w:r>
        <w:rPr>
          <w:rFonts w:hint="eastAsia" w:ascii="宋体" w:hAnsi="宋体" w:eastAsia="宋体" w:cs="Arial"/>
          <w:kern w:val="2"/>
          <w:sz w:val="24"/>
          <w:szCs w:val="24"/>
          <w:lang w:val="en-US" w:eastAsia="zh-CN" w:bidi="ar-SA"/>
        </w:rPr>
        <w:t>税收</w:t>
      </w:r>
      <w:r>
        <w:rPr>
          <w:rFonts w:hint="eastAsia" w:ascii="宋体" w:hAnsi="宋体" w:eastAsia="宋体" w:cs="Arial"/>
          <w:kern w:val="2"/>
          <w:sz w:val="24"/>
          <w:szCs w:val="24"/>
          <w:lang w:val="en-US" w:eastAsia="zh-CN" w:bidi="ar-SA"/>
        </w:rPr>
        <w:fldChar w:fldCharType="end"/>
      </w:r>
      <w:r>
        <w:rPr>
          <w:rFonts w:hint="eastAsia" w:ascii="宋体" w:hAnsi="宋体" w:eastAsia="宋体" w:cs="Arial"/>
          <w:kern w:val="2"/>
          <w:sz w:val="24"/>
          <w:szCs w:val="24"/>
          <w:lang w:val="en-US" w:eastAsia="zh-CN" w:bidi="ar-SA"/>
        </w:rPr>
        <w:t>和</w:t>
      </w:r>
      <w:r>
        <w:rPr>
          <w:rFonts w:hint="eastAsia" w:ascii="宋体" w:hAnsi="宋体" w:eastAsia="宋体" w:cs="Arial"/>
          <w:kern w:val="2"/>
          <w:sz w:val="24"/>
          <w:szCs w:val="24"/>
          <w:lang w:val="en-US" w:eastAsia="zh-CN" w:bidi="ar-SA"/>
        </w:rPr>
        <w:fldChar w:fldCharType="begin"/>
      </w:r>
      <w:r>
        <w:rPr>
          <w:rFonts w:hint="eastAsia" w:ascii="宋体" w:hAnsi="宋体" w:eastAsia="宋体" w:cs="Arial"/>
          <w:kern w:val="2"/>
          <w:sz w:val="24"/>
          <w:szCs w:val="24"/>
          <w:lang w:val="en-US" w:eastAsia="zh-CN" w:bidi="ar-SA"/>
        </w:rPr>
        <w:instrText xml:space="preserve"> HYPERLINK "http://www.so.com/s?q=%E7%A4%BE%E4%BC%9A%E4%BF%9D%E9%9A%9C%E8%B5%84%E9%87%91&amp;ie=utf-8&amp;src=internal_wenda_recommend_textn" \t "https://wenda.so.com/q/_blank" </w:instrText>
      </w:r>
      <w:r>
        <w:rPr>
          <w:rFonts w:hint="eastAsia" w:ascii="宋体" w:hAnsi="宋体" w:eastAsia="宋体" w:cs="Arial"/>
          <w:kern w:val="2"/>
          <w:sz w:val="24"/>
          <w:szCs w:val="24"/>
          <w:lang w:val="en-US" w:eastAsia="zh-CN" w:bidi="ar-SA"/>
        </w:rPr>
        <w:fldChar w:fldCharType="separate"/>
      </w:r>
      <w:r>
        <w:rPr>
          <w:rFonts w:hint="eastAsia" w:ascii="宋体" w:hAnsi="宋体" w:eastAsia="宋体" w:cs="Arial"/>
          <w:kern w:val="2"/>
          <w:sz w:val="24"/>
          <w:szCs w:val="24"/>
          <w:lang w:val="en-US" w:eastAsia="zh-CN" w:bidi="ar-SA"/>
        </w:rPr>
        <w:t>社会保障资金</w:t>
      </w:r>
      <w:r>
        <w:rPr>
          <w:rFonts w:hint="eastAsia" w:ascii="宋体" w:hAnsi="宋体" w:eastAsia="宋体" w:cs="Arial"/>
          <w:kern w:val="2"/>
          <w:sz w:val="24"/>
          <w:szCs w:val="24"/>
          <w:lang w:val="en-US" w:eastAsia="zh-CN" w:bidi="ar-SA"/>
        </w:rPr>
        <w:fldChar w:fldCharType="end"/>
      </w:r>
      <w:r>
        <w:rPr>
          <w:rFonts w:hint="eastAsia" w:ascii="宋体" w:hAnsi="宋体" w:eastAsia="宋体" w:cs="Arial"/>
          <w:kern w:val="2"/>
          <w:sz w:val="24"/>
          <w:szCs w:val="24"/>
          <w:lang w:val="en-US" w:eastAsia="zh-CN" w:bidi="ar-SA"/>
        </w:rPr>
        <w:t>的良好记录；</w:t>
      </w:r>
      <w:r>
        <w:rPr>
          <w:rFonts w:hint="eastAsia" w:ascii="宋体" w:hAnsi="宋体" w:eastAsia="宋体" w:cs="Arial"/>
          <w:kern w:val="2"/>
          <w:sz w:val="24"/>
          <w:szCs w:val="24"/>
          <w:lang w:val="en-US" w:eastAsia="zh-CN" w:bidi="ar-SA"/>
        </w:rPr>
        <w:br w:type="textWrapping"/>
      </w:r>
      <w:r>
        <w:rPr>
          <w:rFonts w:hint="eastAsia" w:ascii="宋体" w:hAnsi="宋体" w:eastAsia="宋体" w:cs="Arial"/>
          <w:kern w:val="2"/>
          <w:sz w:val="24"/>
          <w:szCs w:val="24"/>
          <w:lang w:val="en-US" w:eastAsia="zh-CN" w:bidi="ar-SA"/>
        </w:rPr>
        <w:t>　　</w:t>
      </w:r>
      <w:r>
        <w:rPr>
          <w:rFonts w:hint="eastAsia" w:ascii="宋体" w:hAnsi="宋体" w:cs="Arial"/>
          <w:kern w:val="2"/>
          <w:sz w:val="24"/>
          <w:szCs w:val="24"/>
          <w:lang w:val="en-US" w:eastAsia="zh-CN" w:bidi="ar-SA"/>
        </w:rPr>
        <w:t xml:space="preserve">  </w:t>
      </w:r>
      <w:r>
        <w:rPr>
          <w:rFonts w:hint="eastAsia" w:ascii="宋体" w:hAnsi="宋体" w:eastAsia="宋体" w:cs="Arial"/>
          <w:kern w:val="2"/>
          <w:sz w:val="24"/>
          <w:szCs w:val="24"/>
          <w:lang w:val="en-US" w:eastAsia="zh-CN" w:bidi="ar-SA"/>
        </w:rPr>
        <w:t>⑤参加政府采购活动前三年内，在经营活动中没有重大违法记录；</w:t>
      </w:r>
      <w:r>
        <w:rPr>
          <w:rFonts w:hint="eastAsia" w:ascii="宋体" w:hAnsi="宋体" w:eastAsia="宋体" w:cs="Arial"/>
          <w:kern w:val="2"/>
          <w:sz w:val="24"/>
          <w:szCs w:val="24"/>
          <w:lang w:val="en-US" w:eastAsia="zh-CN" w:bidi="ar-SA"/>
        </w:rPr>
        <w:br w:type="textWrapping"/>
      </w:r>
      <w:r>
        <w:rPr>
          <w:rFonts w:hint="eastAsia" w:ascii="宋体" w:hAnsi="宋体" w:eastAsia="宋体" w:cs="Arial"/>
          <w:kern w:val="2"/>
          <w:sz w:val="24"/>
          <w:szCs w:val="24"/>
          <w:lang w:val="en-US" w:eastAsia="zh-CN" w:bidi="ar-SA"/>
        </w:rPr>
        <w:t>　　</w:t>
      </w:r>
      <w:r>
        <w:rPr>
          <w:rFonts w:hint="eastAsia" w:ascii="宋体" w:hAnsi="宋体" w:cs="Arial"/>
          <w:kern w:val="2"/>
          <w:sz w:val="24"/>
          <w:szCs w:val="24"/>
          <w:lang w:val="en-US" w:eastAsia="zh-CN" w:bidi="ar-SA"/>
        </w:rPr>
        <w:t xml:space="preserve">  </w:t>
      </w:r>
      <w:r>
        <w:rPr>
          <w:rFonts w:hint="eastAsia" w:ascii="宋体" w:hAnsi="宋体" w:eastAsia="宋体" w:cs="Arial"/>
          <w:kern w:val="2"/>
          <w:sz w:val="24"/>
          <w:szCs w:val="24"/>
          <w:lang w:val="en-US" w:eastAsia="zh-CN" w:bidi="ar-SA"/>
        </w:rPr>
        <w:t>⑥法律、行政法规规定的其他条件。</w:t>
      </w:r>
    </w:p>
    <w:p>
      <w:pPr>
        <w:snapToGrid w:val="0"/>
        <w:spacing w:line="360" w:lineRule="auto"/>
        <w:ind w:firstLine="480" w:firstLineChars="200"/>
        <w:rPr>
          <w:rFonts w:ascii="宋体" w:hAnsi="宋体" w:cs="Arial"/>
          <w:sz w:val="24"/>
        </w:rPr>
      </w:pPr>
      <w:r>
        <w:rPr>
          <w:rFonts w:hint="eastAsia" w:ascii="宋体" w:hAnsi="宋体" w:cs="Arial"/>
          <w:sz w:val="24"/>
        </w:rPr>
        <w:t>（二）本项目供应商特定条件：未被信用中国网站（www.creditchina.gov.cn）列入失信被执行人、重大税收违法案件当事人名单，未被中国政府采购网（www.ccgp.gov.cn）列入政府采购严重违法失信行为记录名单。</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（三）本项目不接受联合体投标；</w:t>
      </w:r>
    </w:p>
    <w:p>
      <w:pPr>
        <w:tabs>
          <w:tab w:val="left" w:pos="180"/>
          <w:tab w:val="left" w:pos="360"/>
          <w:tab w:val="left" w:pos="540"/>
          <w:tab w:val="left" w:pos="8280"/>
        </w:tabs>
        <w:autoSpaceDE w:val="0"/>
        <w:autoSpaceDN w:val="0"/>
        <w:adjustRightInd w:val="0"/>
        <w:spacing w:line="360" w:lineRule="auto"/>
        <w:ind w:right="23"/>
        <w:jc w:val="left"/>
        <w:rPr>
          <w:rFonts w:ascii="宋体" w:hAnsi="宋体"/>
          <w:b/>
          <w:sz w:val="24"/>
        </w:rPr>
      </w:pPr>
      <w:r>
        <w:rPr>
          <w:rFonts w:hint="eastAsia" w:ascii="宋体" w:hAnsi="宋体"/>
          <w:b/>
          <w:sz w:val="24"/>
        </w:rPr>
        <w:t>四、招标文件获取的方式、时间：</w:t>
      </w:r>
    </w:p>
    <w:p>
      <w:pPr>
        <w:snapToGrid w:val="0"/>
        <w:spacing w:line="360" w:lineRule="auto"/>
        <w:ind w:firstLine="480" w:firstLineChars="200"/>
        <w:rPr>
          <w:rFonts w:ascii="宋体" w:hAnsi="宋体" w:cs="Arial"/>
          <w:sz w:val="24"/>
        </w:rPr>
      </w:pPr>
      <w:r>
        <w:rPr>
          <w:rFonts w:hint="eastAsia" w:ascii="宋体" w:hAnsi="宋体" w:cs="Arial"/>
          <w:sz w:val="24"/>
        </w:rPr>
        <w:t>1、获取方式：</w:t>
      </w:r>
      <w:r>
        <w:rPr>
          <w:rFonts w:hint="eastAsia" w:ascii="宋体" w:hAnsi="宋体" w:cs="宋体"/>
          <w:kern w:val="0"/>
          <w:sz w:val="24"/>
        </w:rPr>
        <w:t>网上直接下载，下载地址为</w:t>
      </w:r>
      <w:r>
        <w:fldChar w:fldCharType="begin"/>
      </w:r>
      <w:r>
        <w:instrText xml:space="preserve"> HYPERLINK "http://www.xjztb.cn" </w:instrText>
      </w:r>
      <w:r>
        <w:fldChar w:fldCharType="separate"/>
      </w:r>
      <w:r>
        <w:rPr>
          <w:rFonts w:ascii="宋体" w:hAnsi="宋体" w:cs="Arial"/>
          <w:sz w:val="24"/>
        </w:rPr>
        <w:t>http://www.smztb.com</w:t>
      </w:r>
      <w:r>
        <w:rPr>
          <w:rFonts w:ascii="宋体" w:hAnsi="宋体" w:cs="Arial"/>
          <w:sz w:val="24"/>
        </w:rPr>
        <w:fldChar w:fldCharType="end"/>
      </w:r>
      <w:r>
        <w:rPr>
          <w:rFonts w:hint="eastAsia" w:ascii="宋体" w:hAnsi="宋体" w:cs="Arial"/>
          <w:sz w:val="24"/>
        </w:rPr>
        <w:t>。</w:t>
      </w:r>
    </w:p>
    <w:p>
      <w:pPr>
        <w:spacing w:line="360" w:lineRule="auto"/>
        <w:ind w:firstLine="480" w:firstLineChars="200"/>
        <w:rPr>
          <w:rFonts w:ascii="宋体" w:hAnsi="宋体" w:cs="Arial"/>
          <w:sz w:val="24"/>
        </w:rPr>
      </w:pPr>
      <w:r>
        <w:rPr>
          <w:rFonts w:hint="eastAsia" w:ascii="宋体" w:hAnsi="宋体" w:cs="Arial"/>
          <w:sz w:val="24"/>
        </w:rPr>
        <w:t>2、获取（公告）时间：</w:t>
      </w:r>
      <w:r>
        <w:rPr>
          <w:rFonts w:hint="eastAsia" w:ascii="宋体" w:hAnsi="宋体" w:cs="宋体"/>
          <w:kern w:val="0"/>
          <w:sz w:val="24"/>
        </w:rPr>
        <w:t>2019年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08</w:t>
      </w:r>
      <w:r>
        <w:rPr>
          <w:rFonts w:hint="eastAsia" w:ascii="宋体" w:hAnsi="宋体" w:cs="宋体"/>
          <w:kern w:val="0"/>
          <w:sz w:val="24"/>
        </w:rPr>
        <w:t>日至2019年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29</w:t>
      </w:r>
      <w:r>
        <w:rPr>
          <w:rFonts w:hint="eastAsia" w:ascii="宋体" w:hAnsi="宋体" w:cs="宋体"/>
          <w:kern w:val="0"/>
          <w:sz w:val="24"/>
        </w:rPr>
        <w:t>日</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jc w:val="left"/>
        <w:rPr>
          <w:rFonts w:ascii="宋体" w:hAnsi="宋体"/>
          <w:b/>
          <w:kern w:val="0"/>
          <w:sz w:val="24"/>
        </w:rPr>
      </w:pPr>
      <w:r>
        <w:rPr>
          <w:rFonts w:hint="eastAsia" w:ascii="宋体" w:hAnsi="宋体" w:cs="Arial"/>
          <w:b/>
          <w:sz w:val="24"/>
        </w:rPr>
        <w:t>五、</w:t>
      </w:r>
      <w:r>
        <w:rPr>
          <w:rFonts w:hint="eastAsia" w:ascii="宋体" w:hAnsi="宋体"/>
          <w:b/>
          <w:kern w:val="0"/>
          <w:sz w:val="24"/>
        </w:rPr>
        <w:t>投标截止及开标时间、地点：</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本次招标将于2019年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29</w:t>
      </w:r>
      <w:r>
        <w:rPr>
          <w:rFonts w:hint="eastAsia" w:ascii="宋体" w:hAnsi="宋体" w:cs="宋体"/>
          <w:kern w:val="0"/>
          <w:sz w:val="24"/>
        </w:rPr>
        <w:t>日星期</w:t>
      </w:r>
      <w:r>
        <w:rPr>
          <w:rFonts w:hint="eastAsia" w:ascii="宋体" w:hAnsi="宋体" w:cs="宋体"/>
          <w:kern w:val="0"/>
          <w:sz w:val="24"/>
          <w:lang w:eastAsia="zh-CN"/>
        </w:rPr>
        <w:t>二</w:t>
      </w:r>
      <w:r>
        <w:rPr>
          <w:rFonts w:hint="eastAsia" w:ascii="宋体" w:hAnsi="宋体" w:cs="Arial"/>
          <w:sz w:val="24"/>
        </w:rPr>
        <w:t>09</w:t>
      </w:r>
      <w:r>
        <w:rPr>
          <w:rFonts w:hint="eastAsia" w:ascii="宋体" w:hAnsi="宋体" w:cs="宋体"/>
          <w:sz w:val="24"/>
        </w:rPr>
        <w:t>:00</w:t>
      </w:r>
      <w:r>
        <w:rPr>
          <w:rFonts w:hint="eastAsia" w:ascii="宋体" w:hAnsi="宋体" w:cs="宋体"/>
          <w:kern w:val="0"/>
          <w:sz w:val="24"/>
        </w:rPr>
        <w:t>时整在三门县广场路22号交通大楼四楼开标室开标，请在此时间前将投标文件送达开标地点，逾期或不符合规定的投标文件恕不接受。</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jc w:val="left"/>
        <w:rPr>
          <w:rFonts w:ascii="宋体" w:hAnsi="宋体"/>
          <w:b/>
          <w:kern w:val="0"/>
          <w:sz w:val="24"/>
        </w:rPr>
      </w:pPr>
      <w:r>
        <w:rPr>
          <w:rFonts w:hint="eastAsia" w:ascii="宋体" w:hAnsi="宋体"/>
          <w:b/>
          <w:kern w:val="0"/>
          <w:sz w:val="24"/>
        </w:rPr>
        <w:t>六、投标保证金：</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1、投标保证金的形式：现金，在递交投标文件的同时递交。</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2、投标保证金金额：9000元整；</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3、投标保证金缴纳截止时间：2019年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29</w:t>
      </w:r>
      <w:r>
        <w:rPr>
          <w:rFonts w:hint="eastAsia" w:ascii="宋体" w:hAnsi="宋体" w:cs="宋体"/>
          <w:kern w:val="0"/>
          <w:sz w:val="24"/>
        </w:rPr>
        <w:t>日9：00。</w:t>
      </w:r>
    </w:p>
    <w:p>
      <w:pPr>
        <w:snapToGrid w:val="0"/>
        <w:spacing w:line="360" w:lineRule="auto"/>
        <w:ind w:firstLine="480" w:firstLineChars="200"/>
      </w:pPr>
      <w:r>
        <w:rPr>
          <w:rFonts w:hint="eastAsia" w:ascii="宋体" w:hAnsi="宋体" w:cs="宋体"/>
          <w:kern w:val="0"/>
          <w:sz w:val="24"/>
        </w:rPr>
        <w:t>4、投标保证金的有效期：同投标有效期。</w:t>
      </w:r>
    </w:p>
    <w:p>
      <w:pPr>
        <w:snapToGrid w:val="0"/>
        <w:spacing w:line="360" w:lineRule="auto"/>
        <w:rPr>
          <w:rFonts w:ascii="宋体" w:hAnsi="宋体" w:cs="Arial"/>
          <w:b/>
          <w:sz w:val="24"/>
        </w:rPr>
      </w:pPr>
      <w:r>
        <w:rPr>
          <w:rFonts w:hint="eastAsia" w:ascii="宋体" w:hAnsi="宋体" w:cs="Arial"/>
          <w:b/>
          <w:sz w:val="24"/>
        </w:rPr>
        <w:t>七</w:t>
      </w:r>
      <w:r>
        <w:rPr>
          <w:rFonts w:ascii="宋体" w:hAnsi="宋体" w:cs="Arial"/>
          <w:b/>
          <w:sz w:val="24"/>
        </w:rPr>
        <w:t>、投标人信用信息查询渠道及截止时点、信用信息查询记录和证据留存的具体方式、信用信息的使用规则</w:t>
      </w:r>
      <w:r>
        <w:rPr>
          <w:rFonts w:hint="eastAsia" w:ascii="宋体" w:hAnsi="宋体" w:cs="Arial"/>
          <w:b/>
          <w:sz w:val="24"/>
        </w:rPr>
        <w:t>：</w:t>
      </w:r>
    </w:p>
    <w:p>
      <w:pPr>
        <w:snapToGrid w:val="0"/>
        <w:spacing w:line="360" w:lineRule="auto"/>
        <w:ind w:firstLine="480" w:firstLineChars="200"/>
        <w:rPr>
          <w:rFonts w:ascii="宋体" w:hAnsi="宋体" w:cs="Arial"/>
          <w:sz w:val="24"/>
        </w:rPr>
      </w:pPr>
      <w:r>
        <w:rPr>
          <w:rFonts w:hint="eastAsia" w:ascii="宋体" w:hAnsi="宋体" w:cs="Arial"/>
          <w:sz w:val="24"/>
        </w:rPr>
        <w:t>1、查询渠道：国家企业信用信息公示系统（http://www.gsxt.gov.cn/index.html）。</w:t>
      </w:r>
    </w:p>
    <w:p>
      <w:pPr>
        <w:snapToGrid w:val="0"/>
        <w:spacing w:line="360" w:lineRule="auto"/>
        <w:ind w:firstLine="480" w:firstLineChars="200"/>
        <w:rPr>
          <w:rFonts w:ascii="宋体" w:hAnsi="宋体" w:cs="Arial"/>
          <w:b/>
          <w:bCs/>
          <w:sz w:val="24"/>
          <w:shd w:val="clear" w:color="FFFFFF" w:fill="D9D9D9"/>
        </w:rPr>
      </w:pPr>
      <w:r>
        <w:rPr>
          <w:rFonts w:hint="eastAsia" w:ascii="宋体" w:hAnsi="宋体" w:cs="Arial"/>
          <w:sz w:val="24"/>
        </w:rPr>
        <w:t>2、截止时点：开标后评标前。</w:t>
      </w:r>
    </w:p>
    <w:p>
      <w:pPr>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信用信息查询记录和证据留存的具体方式</w:t>
      </w:r>
      <w:r>
        <w:rPr>
          <w:rFonts w:hint="eastAsia" w:ascii="宋体" w:hAnsi="宋体" w:cs="Arial"/>
          <w:sz w:val="24"/>
        </w:rPr>
        <w:t>：由采购组织机构在规定查询时间内打印信用信息查询记录并归入项目档案。</w:t>
      </w:r>
    </w:p>
    <w:p>
      <w:pPr>
        <w:snapToGrid w:val="0"/>
        <w:spacing w:line="360" w:lineRule="auto"/>
        <w:ind w:firstLine="480" w:firstLineChars="200"/>
        <w:rPr>
          <w:rFonts w:ascii="宋体" w:hAnsi="宋体" w:cs="Arial"/>
          <w:sz w:val="24"/>
        </w:rPr>
      </w:pPr>
      <w:r>
        <w:rPr>
          <w:rFonts w:hint="eastAsia" w:ascii="宋体" w:hAnsi="宋体" w:cs="Arial"/>
          <w:sz w:val="24"/>
        </w:rPr>
        <w:t>4、使用规则：对列入失信被执行人、重大税收违法案件当事人名单、政府采购严重违法失信行为记录名单及其他不符合《中华人民共和国政府采购法》第二十二条规定条件的供应商，</w:t>
      </w:r>
      <w:r>
        <w:rPr>
          <w:rFonts w:ascii="宋体" w:hAnsi="宋体" w:cs="Arial"/>
          <w:sz w:val="24"/>
        </w:rPr>
        <w:t>将被</w:t>
      </w:r>
      <w:r>
        <w:rPr>
          <w:rFonts w:hint="eastAsia" w:ascii="宋体" w:hAnsi="宋体" w:cs="Arial"/>
          <w:sz w:val="24"/>
        </w:rPr>
        <w:t>拒绝其参与政府采购活动。</w:t>
      </w:r>
    </w:p>
    <w:p>
      <w:pPr>
        <w:spacing w:line="400" w:lineRule="exact"/>
        <w:rPr>
          <w:rFonts w:ascii="宋体" w:hAnsi="宋体"/>
          <w:b/>
          <w:sz w:val="24"/>
        </w:rPr>
      </w:pPr>
      <w:r>
        <w:rPr>
          <w:rFonts w:hint="eastAsia" w:ascii="宋体" w:hAnsi="宋体"/>
          <w:b/>
          <w:sz w:val="24"/>
        </w:rPr>
        <w:t>八、联系方式：</w:t>
      </w:r>
    </w:p>
    <w:p>
      <w:pPr>
        <w:spacing w:line="400" w:lineRule="exact"/>
        <w:ind w:firstLine="472" w:firstLineChars="196"/>
        <w:rPr>
          <w:rFonts w:ascii="宋体" w:hAnsi="宋体"/>
          <w:b/>
          <w:sz w:val="24"/>
        </w:rPr>
      </w:pPr>
      <w:r>
        <w:rPr>
          <w:rFonts w:hint="eastAsia" w:ascii="宋体" w:hAnsi="宋体"/>
          <w:b/>
          <w:sz w:val="24"/>
        </w:rPr>
        <w:t>（一）招标人</w:t>
      </w:r>
      <w:r>
        <w:rPr>
          <w:rFonts w:hint="eastAsia" w:ascii="宋体" w:hAnsi="宋体" w:cs="Arial"/>
          <w:sz w:val="24"/>
        </w:rPr>
        <w:t xml:space="preserve"> </w:t>
      </w:r>
    </w:p>
    <w:p>
      <w:pPr>
        <w:snapToGrid w:val="0"/>
        <w:spacing w:line="400" w:lineRule="exact"/>
        <w:ind w:firstLine="600" w:firstLineChars="250"/>
        <w:rPr>
          <w:rFonts w:ascii="宋体" w:hAnsi="宋体" w:cs="Arial"/>
          <w:sz w:val="24"/>
        </w:rPr>
      </w:pPr>
      <w:r>
        <w:rPr>
          <w:rFonts w:ascii="宋体" w:hAnsi="宋体" w:cs="Arial"/>
          <w:sz w:val="24"/>
        </w:rPr>
        <w:t>联系人：</w:t>
      </w:r>
      <w:r>
        <w:rPr>
          <w:rFonts w:hint="eastAsia" w:ascii="宋体" w:hAnsi="宋体" w:cs="Arial"/>
          <w:sz w:val="24"/>
        </w:rPr>
        <w:t>王宇杨       联系电话：13968512657</w:t>
      </w:r>
    </w:p>
    <w:p>
      <w:pPr>
        <w:snapToGrid w:val="0"/>
        <w:spacing w:line="400" w:lineRule="exact"/>
        <w:ind w:firstLine="600" w:firstLineChars="250"/>
        <w:rPr>
          <w:rFonts w:ascii="宋体" w:hAnsi="宋体" w:cs="Arial"/>
          <w:sz w:val="24"/>
        </w:rPr>
      </w:pPr>
      <w:r>
        <w:rPr>
          <w:rFonts w:hint="eastAsia" w:ascii="宋体" w:hAnsi="宋体" w:cs="Arial"/>
          <w:sz w:val="24"/>
        </w:rPr>
        <w:t>地址：浙江省三门县海游街道文化路424号</w:t>
      </w:r>
    </w:p>
    <w:p>
      <w:pPr>
        <w:spacing w:line="400" w:lineRule="exact"/>
        <w:ind w:firstLine="472" w:firstLineChars="196"/>
        <w:rPr>
          <w:rFonts w:ascii="宋体" w:hAnsi="宋体"/>
          <w:b/>
          <w:sz w:val="24"/>
        </w:rPr>
      </w:pPr>
      <w:r>
        <w:rPr>
          <w:rFonts w:hint="eastAsia" w:ascii="宋体" w:hAnsi="宋体"/>
          <w:b/>
          <w:sz w:val="24"/>
        </w:rPr>
        <w:t>（二）代理机构</w:t>
      </w:r>
    </w:p>
    <w:p>
      <w:pPr>
        <w:snapToGrid w:val="0"/>
        <w:spacing w:line="400" w:lineRule="exact"/>
        <w:ind w:firstLine="600" w:firstLineChars="250"/>
        <w:rPr>
          <w:rFonts w:ascii="宋体" w:hAnsi="宋体" w:cs="Arial"/>
          <w:sz w:val="24"/>
        </w:rPr>
      </w:pPr>
      <w:r>
        <w:rPr>
          <w:rFonts w:hint="eastAsia" w:ascii="宋体" w:hAnsi="宋体" w:cs="Arial"/>
          <w:sz w:val="24"/>
        </w:rPr>
        <w:t>项目联系人：周文君</w:t>
      </w:r>
    </w:p>
    <w:p>
      <w:pPr>
        <w:snapToGrid w:val="0"/>
        <w:spacing w:line="400" w:lineRule="exact"/>
        <w:ind w:firstLine="600" w:firstLineChars="250"/>
        <w:rPr>
          <w:rFonts w:ascii="宋体" w:hAnsi="宋体" w:cs="宋体"/>
          <w:kern w:val="0"/>
          <w:sz w:val="24"/>
        </w:rPr>
      </w:pPr>
      <w:r>
        <w:rPr>
          <w:rFonts w:hint="eastAsia" w:ascii="宋体" w:hAnsi="宋体" w:cs="Arial"/>
          <w:sz w:val="24"/>
        </w:rPr>
        <w:t>联系电话：</w:t>
      </w:r>
      <w:r>
        <w:rPr>
          <w:rFonts w:hint="eastAsia" w:ascii="宋体" w:hAnsi="宋体" w:cs="宋体"/>
          <w:kern w:val="0"/>
          <w:sz w:val="24"/>
        </w:rPr>
        <w:t>0576-83303456 13958533735</w:t>
      </w:r>
    </w:p>
    <w:p>
      <w:pPr>
        <w:snapToGrid w:val="0"/>
        <w:spacing w:line="400" w:lineRule="exact"/>
        <w:ind w:firstLine="600" w:firstLineChars="250"/>
        <w:rPr>
          <w:rFonts w:ascii="宋体" w:hAnsi="宋体" w:cs="Arial"/>
          <w:sz w:val="24"/>
        </w:rPr>
      </w:pPr>
      <w:r>
        <w:rPr>
          <w:rFonts w:hint="eastAsia" w:ascii="宋体" w:hAnsi="宋体" w:cs="宋体"/>
          <w:kern w:val="0"/>
          <w:sz w:val="24"/>
        </w:rPr>
        <w:t>地址：</w:t>
      </w:r>
      <w:r>
        <w:rPr>
          <w:rFonts w:hint="eastAsia" w:ascii="宋体" w:hAnsi="宋体" w:cs="Arial"/>
          <w:bCs/>
          <w:color w:val="000000"/>
          <w:sz w:val="24"/>
        </w:rPr>
        <w:t>三门县海游街道环湖东路1-11号</w:t>
      </w:r>
      <w:r>
        <w:rPr>
          <w:rFonts w:hint="eastAsia" w:ascii="宋体" w:hAnsi="宋体" w:cs="宋体"/>
          <w:kern w:val="0"/>
          <w:sz w:val="24"/>
        </w:rPr>
        <w:t xml:space="preserve">    </w:t>
      </w:r>
    </w:p>
    <w:p>
      <w:pPr>
        <w:spacing w:line="400" w:lineRule="exact"/>
        <w:ind w:right="480" w:firstLine="3600" w:firstLineChars="1500"/>
        <w:jc w:val="left"/>
        <w:rPr>
          <w:rFonts w:ascii="宋体" w:hAnsi="宋体" w:cs="宋体"/>
          <w:sz w:val="24"/>
        </w:rPr>
      </w:pPr>
    </w:p>
    <w:p>
      <w:pPr>
        <w:spacing w:line="400" w:lineRule="exact"/>
        <w:ind w:right="480" w:firstLine="3600" w:firstLineChars="1500"/>
        <w:jc w:val="left"/>
        <w:rPr>
          <w:rFonts w:ascii="宋体" w:hAnsi="宋体" w:cs="宋体"/>
          <w:sz w:val="24"/>
        </w:rPr>
      </w:pPr>
    </w:p>
    <w:p>
      <w:pPr>
        <w:spacing w:line="400" w:lineRule="exact"/>
        <w:ind w:right="480" w:firstLine="3600" w:firstLineChars="1500"/>
        <w:jc w:val="left"/>
        <w:rPr>
          <w:rFonts w:ascii="宋体" w:hAnsi="宋体" w:cs="宋体"/>
          <w:sz w:val="24"/>
        </w:rPr>
      </w:pPr>
    </w:p>
    <w:p>
      <w:pPr>
        <w:pStyle w:val="2"/>
        <w:spacing w:line="360" w:lineRule="auto"/>
        <w:jc w:val="right"/>
        <w:rPr>
          <w:rFonts w:asciiTheme="minorEastAsia" w:hAnsiTheme="minorEastAsia" w:eastAsiaTheme="minorEastAsia"/>
        </w:rPr>
      </w:pPr>
      <w:r>
        <w:rPr>
          <w:rFonts w:hint="eastAsia" w:asciiTheme="minorEastAsia" w:hAnsiTheme="minorEastAsia" w:eastAsiaTheme="minorEastAsia"/>
        </w:rPr>
        <w:t>招标人：国网浙江三门县供电有限公司</w:t>
      </w:r>
    </w:p>
    <w:p>
      <w:pPr>
        <w:pStyle w:val="2"/>
        <w:spacing w:line="360" w:lineRule="auto"/>
        <w:jc w:val="right"/>
        <w:rPr>
          <w:rFonts w:asciiTheme="minorEastAsia" w:hAnsiTheme="minorEastAsia" w:eastAsiaTheme="minorEastAsia"/>
        </w:rPr>
      </w:pPr>
      <w:r>
        <w:rPr>
          <w:rFonts w:hint="eastAsia" w:asciiTheme="minorEastAsia" w:hAnsiTheme="minorEastAsia" w:eastAsiaTheme="minorEastAsia"/>
        </w:rPr>
        <w:t>招标代理机构：浙江建科工程项目管理有限公司</w:t>
      </w:r>
    </w:p>
    <w:p>
      <w:pPr>
        <w:pStyle w:val="2"/>
        <w:spacing w:line="360" w:lineRule="auto"/>
        <w:jc w:val="right"/>
        <w:rPr>
          <w:rFonts w:asciiTheme="minorEastAsia" w:hAnsiTheme="minorEastAsia" w:eastAsiaTheme="minorEastAsia"/>
        </w:rPr>
      </w:pPr>
      <w:r>
        <w:rPr>
          <w:rFonts w:hint="eastAsia" w:asciiTheme="minorEastAsia" w:hAnsiTheme="minorEastAsia" w:eastAsiaTheme="minorEastAsia"/>
        </w:rPr>
        <w:t>行业监督部门：三门县住房和城乡建设局</w:t>
      </w:r>
    </w:p>
    <w:p>
      <w:pPr>
        <w:spacing w:line="400" w:lineRule="exact"/>
        <w:ind w:right="480" w:firstLine="6480" w:firstLineChars="2700"/>
        <w:jc w:val="left"/>
        <w:rPr>
          <w:rFonts w:ascii="宋体" w:hAnsi="宋体" w:cs="宋体"/>
          <w:kern w:val="0"/>
          <w:sz w:val="24"/>
        </w:rPr>
      </w:pPr>
      <w:r>
        <w:rPr>
          <w:rFonts w:hint="eastAsia" w:ascii="宋体" w:hAnsi="宋体" w:cs="宋体"/>
          <w:kern w:val="0"/>
          <w:sz w:val="24"/>
        </w:rPr>
        <w:t>2019年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08</w:t>
      </w:r>
      <w:r>
        <w:rPr>
          <w:rFonts w:hint="eastAsia" w:ascii="宋体" w:hAnsi="宋体" w:cs="宋体"/>
          <w:kern w:val="0"/>
          <w:sz w:val="24"/>
        </w:rPr>
        <w:t>日</w:t>
      </w:r>
    </w:p>
    <w:p>
      <w:pPr>
        <w:rPr>
          <w:rFonts w:hint="eastAsia"/>
        </w:rPr>
      </w:pPr>
    </w:p>
    <w:p>
      <w:pPr>
        <w:pStyle w:val="2"/>
        <w:rPr>
          <w:rFonts w:hint="eastAsia"/>
        </w:rPr>
      </w:pPr>
    </w:p>
    <w:p>
      <w:pPr>
        <w:widowControl/>
        <w:jc w:val="left"/>
        <w:rPr>
          <w:sz w:val="24"/>
        </w:rPr>
      </w:pPr>
      <w:r>
        <w:br w:type="page"/>
      </w:r>
    </w:p>
    <w:p>
      <w:pPr>
        <w:pStyle w:val="3"/>
        <w:jc w:val="center"/>
      </w:pPr>
      <w:bookmarkStart w:id="29" w:name="_Toc19880415"/>
      <w:r>
        <w:rPr>
          <w:rFonts w:hint="eastAsia"/>
        </w:rPr>
        <w:t>第二章投标人须知</w:t>
      </w:r>
      <w:bookmarkEnd w:id="29"/>
      <w:bookmarkStart w:id="30" w:name="_Toc19880416"/>
      <w:r>
        <w:rPr>
          <w:rFonts w:hint="eastAsia"/>
        </w:rPr>
        <w:t>前附表</w:t>
      </w:r>
      <w:bookmarkEnd w:id="30"/>
    </w:p>
    <w:tbl>
      <w:tblPr>
        <w:tblStyle w:val="18"/>
        <w:tblW w:w="9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661"/>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26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    目</w:t>
            </w:r>
          </w:p>
        </w:tc>
        <w:tc>
          <w:tcPr>
            <w:tcW w:w="58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26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供应商特定资格要求</w:t>
            </w:r>
          </w:p>
        </w:tc>
        <w:tc>
          <w:tcPr>
            <w:tcW w:w="58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26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答疑会或</w:t>
            </w:r>
            <w:r>
              <w:rPr>
                <w:rFonts w:hint="eastAsia" w:asciiTheme="majorEastAsia" w:hAnsiTheme="majorEastAsia" w:eastAsiaTheme="majorEastAsia" w:cstheme="majorEastAsia"/>
                <w:sz w:val="24"/>
              </w:rPr>
              <w:t>现场踏勘</w:t>
            </w:r>
          </w:p>
        </w:tc>
        <w:tc>
          <w:tcPr>
            <w:tcW w:w="58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26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投标文件包装要求</w:t>
            </w:r>
          </w:p>
        </w:tc>
        <w:tc>
          <w:tcPr>
            <w:tcW w:w="58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asciiTheme="majorEastAsia" w:hAnsiTheme="majorEastAsia" w:eastAsiaTheme="majorEastAsia" w:cstheme="majorEastAsia"/>
                <w:sz w:val="24"/>
              </w:rPr>
              <w:t>资格证明文件共</w:t>
            </w:r>
            <w:r>
              <w:rPr>
                <w:rFonts w:asciiTheme="majorEastAsia" w:hAnsiTheme="majorEastAsia" w:eastAsiaTheme="majorEastAsia" w:cstheme="majorEastAsia"/>
                <w:sz w:val="24"/>
                <w:u w:val="single"/>
              </w:rPr>
              <w:t xml:space="preserve"> 2 </w:t>
            </w:r>
            <w:r>
              <w:rPr>
                <w:rFonts w:asciiTheme="majorEastAsia" w:hAnsiTheme="majorEastAsia" w:eastAsiaTheme="majorEastAsia" w:cstheme="majorEastAsia"/>
                <w:sz w:val="24"/>
              </w:rPr>
              <w:t>份（一正本一副本，封装成一袋），商务与技术文件共</w:t>
            </w:r>
            <w:r>
              <w:rPr>
                <w:rFonts w:asciiTheme="majorEastAsia" w:hAnsiTheme="majorEastAsia" w:eastAsiaTheme="majorEastAsia" w:cstheme="majorEastAsia"/>
                <w:sz w:val="24"/>
                <w:u w:val="single"/>
              </w:rPr>
              <w:t xml:space="preserve"> 5 </w:t>
            </w:r>
            <w:r>
              <w:rPr>
                <w:rFonts w:asciiTheme="majorEastAsia" w:hAnsiTheme="majorEastAsia" w:eastAsiaTheme="majorEastAsia" w:cstheme="majorEastAsia"/>
                <w:sz w:val="24"/>
              </w:rPr>
              <w:t>份（一正本四副本，封装成一袋），报价文件共</w:t>
            </w:r>
            <w:r>
              <w:rPr>
                <w:rFonts w:asciiTheme="majorEastAsia" w:hAnsiTheme="majorEastAsia" w:eastAsiaTheme="majorEastAsia" w:cstheme="majorEastAsia"/>
                <w:sz w:val="24"/>
                <w:u w:val="single"/>
              </w:rPr>
              <w:t xml:space="preserve"> 5 </w:t>
            </w:r>
            <w:r>
              <w:rPr>
                <w:rFonts w:asciiTheme="majorEastAsia" w:hAnsiTheme="majorEastAsia" w:eastAsiaTheme="majorEastAsia" w:cstheme="majorEastAsia"/>
                <w:sz w:val="24"/>
              </w:rPr>
              <w:t>份（一正本四副本，封装成一袋），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w:t>
            </w:r>
          </w:p>
        </w:tc>
        <w:tc>
          <w:tcPr>
            <w:tcW w:w="26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投标有效期</w:t>
            </w:r>
          </w:p>
        </w:tc>
        <w:tc>
          <w:tcPr>
            <w:tcW w:w="58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投标有效期为开标后90天，</w:t>
            </w:r>
            <w:r>
              <w:rPr>
                <w:rFonts w:hint="eastAsia" w:asciiTheme="majorEastAsia" w:hAnsiTheme="majorEastAsia" w:eastAsiaTheme="majorEastAsia" w:cstheme="majorEastAsia"/>
                <w:kern w:val="0"/>
                <w:sz w:val="24"/>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w:t>
            </w:r>
          </w:p>
        </w:tc>
        <w:tc>
          <w:tcPr>
            <w:tcW w:w="26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投标文件递交</w:t>
            </w:r>
          </w:p>
        </w:tc>
        <w:tc>
          <w:tcPr>
            <w:tcW w:w="58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Theme="majorEastAsia" w:hAnsiTheme="majorEastAsia" w:eastAsiaTheme="majorEastAsia" w:cstheme="majorEastAsia"/>
                <w:sz w:val="24"/>
              </w:rPr>
              <w:t>截止时间：北京时间20</w:t>
            </w:r>
            <w:r>
              <w:rPr>
                <w:rFonts w:hint="eastAsia" w:ascii="宋体" w:hAnsi="宋体" w:cs="Arial"/>
                <w:sz w:val="24"/>
              </w:rPr>
              <w:t>19</w:t>
            </w:r>
            <w:r>
              <w:rPr>
                <w:rFonts w:hint="eastAsia" w:ascii="宋体" w:hAnsi="宋体" w:cs="宋体"/>
                <w:sz w:val="24"/>
              </w:rPr>
              <w:t>年</w:t>
            </w:r>
            <w:r>
              <w:rPr>
                <w:rFonts w:hint="eastAsia" w:ascii="宋体" w:hAnsi="宋体" w:cs="Arial"/>
                <w:sz w:val="24"/>
                <w:lang w:val="en-US" w:eastAsia="zh-CN"/>
              </w:rPr>
              <w:t>10</w:t>
            </w:r>
            <w:r>
              <w:rPr>
                <w:rFonts w:hint="eastAsia" w:ascii="宋体" w:hAnsi="宋体" w:cs="Arial"/>
                <w:sz w:val="24"/>
              </w:rPr>
              <w:t>月</w:t>
            </w:r>
            <w:r>
              <w:rPr>
                <w:rFonts w:hint="eastAsia" w:ascii="宋体" w:hAnsi="宋体" w:cs="Arial"/>
                <w:sz w:val="24"/>
                <w:lang w:val="en-US" w:eastAsia="zh-CN"/>
              </w:rPr>
              <w:t>29</w:t>
            </w:r>
            <w:r>
              <w:rPr>
                <w:rFonts w:hint="eastAsia" w:ascii="宋体" w:hAnsi="宋体" w:cs="Arial"/>
                <w:sz w:val="24"/>
              </w:rPr>
              <w:t>日09</w:t>
            </w:r>
            <w:r>
              <w:rPr>
                <w:rFonts w:hint="eastAsia" w:ascii="宋体" w:hAnsi="宋体" w:cs="宋体"/>
                <w:sz w:val="24"/>
              </w:rPr>
              <w:t>:00</w:t>
            </w:r>
          </w:p>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递交地点：</w:t>
            </w:r>
            <w:r>
              <w:rPr>
                <w:rFonts w:asciiTheme="majorEastAsia" w:hAnsiTheme="majorEastAsia" w:eastAsiaTheme="majorEastAsia" w:cstheme="majorEastAsia"/>
                <w:sz w:val="24"/>
              </w:rPr>
              <w:t>三门县公共资源交易中心</w:t>
            </w:r>
          </w:p>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w:t>
            </w:r>
          </w:p>
        </w:tc>
        <w:tc>
          <w:tcPr>
            <w:tcW w:w="26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开标时间及地点</w:t>
            </w:r>
          </w:p>
        </w:tc>
        <w:tc>
          <w:tcPr>
            <w:tcW w:w="58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时间：北京时间20</w:t>
            </w:r>
            <w:r>
              <w:rPr>
                <w:rFonts w:hint="eastAsia" w:ascii="宋体" w:hAnsi="宋体" w:cs="Arial"/>
                <w:sz w:val="24"/>
              </w:rPr>
              <w:t>19</w:t>
            </w:r>
            <w:r>
              <w:rPr>
                <w:rFonts w:hint="eastAsia" w:ascii="宋体" w:hAnsi="宋体" w:cs="宋体"/>
                <w:sz w:val="24"/>
              </w:rPr>
              <w:t>年</w:t>
            </w:r>
            <w:r>
              <w:rPr>
                <w:rFonts w:hint="eastAsia" w:ascii="宋体" w:hAnsi="宋体" w:cs="Arial"/>
                <w:sz w:val="24"/>
                <w:lang w:val="en-US" w:eastAsia="zh-CN"/>
              </w:rPr>
              <w:t>10</w:t>
            </w:r>
            <w:r>
              <w:rPr>
                <w:rFonts w:hint="eastAsia" w:ascii="宋体" w:hAnsi="宋体" w:cs="Arial"/>
                <w:sz w:val="24"/>
              </w:rPr>
              <w:t>月</w:t>
            </w:r>
            <w:r>
              <w:rPr>
                <w:rFonts w:hint="eastAsia" w:ascii="宋体" w:hAnsi="宋体" w:cs="Arial"/>
                <w:sz w:val="24"/>
                <w:lang w:val="en-US" w:eastAsia="zh-CN"/>
              </w:rPr>
              <w:t>29</w:t>
            </w:r>
            <w:r>
              <w:rPr>
                <w:rFonts w:hint="eastAsia" w:ascii="宋体" w:hAnsi="宋体" w:cs="Arial"/>
                <w:sz w:val="24"/>
              </w:rPr>
              <w:t>日09</w:t>
            </w:r>
            <w:r>
              <w:rPr>
                <w:rFonts w:hint="eastAsia" w:ascii="宋体" w:hAnsi="宋体" w:cs="宋体"/>
                <w:sz w:val="24"/>
              </w:rPr>
              <w:t>:00</w:t>
            </w:r>
          </w:p>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地点：三门</w:t>
            </w:r>
            <w:r>
              <w:rPr>
                <w:rFonts w:asciiTheme="majorEastAsia" w:hAnsiTheme="majorEastAsia" w:eastAsiaTheme="majorEastAsia" w:cstheme="majorEastAsia"/>
                <w:sz w:val="24"/>
              </w:rPr>
              <w:t>县公共资源交易中心</w:t>
            </w:r>
            <w:r>
              <w:rPr>
                <w:rFonts w:hint="eastAsia" w:asciiTheme="majorEastAsia" w:hAnsiTheme="majorEastAsia" w:eastAsiaTheme="majorEastAsia" w:cstheme="majorEastAsia"/>
                <w:sz w:val="24"/>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7</w:t>
            </w:r>
          </w:p>
        </w:tc>
        <w:tc>
          <w:tcPr>
            <w:tcW w:w="26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工期</w:t>
            </w:r>
          </w:p>
        </w:tc>
        <w:tc>
          <w:tcPr>
            <w:tcW w:w="58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8</w:t>
            </w:r>
          </w:p>
        </w:tc>
        <w:tc>
          <w:tcPr>
            <w:tcW w:w="26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投标保证金</w:t>
            </w:r>
          </w:p>
        </w:tc>
        <w:tc>
          <w:tcPr>
            <w:tcW w:w="58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1、投标保证金的形式：现金，在递交投标文件的同时递交。</w:t>
            </w:r>
          </w:p>
          <w:p>
            <w:pPr>
              <w:snapToGrid w:val="0"/>
              <w:spacing w:line="360" w:lineRule="auto"/>
              <w:rPr>
                <w:rFonts w:ascii="宋体" w:hAnsi="宋体" w:cs="宋体"/>
                <w:kern w:val="0"/>
                <w:sz w:val="24"/>
              </w:rPr>
            </w:pPr>
            <w:r>
              <w:rPr>
                <w:rFonts w:hint="eastAsia" w:ascii="宋体" w:hAnsi="宋体" w:cs="宋体"/>
                <w:kern w:val="0"/>
                <w:sz w:val="24"/>
              </w:rPr>
              <w:t>2、投标保证金金额：9000元整；</w:t>
            </w:r>
          </w:p>
          <w:p>
            <w:pPr>
              <w:snapToGrid w:val="0"/>
              <w:spacing w:line="360" w:lineRule="auto"/>
              <w:ind w:left="480" w:hanging="480" w:hangingChars="200"/>
              <w:rPr>
                <w:rFonts w:ascii="宋体" w:hAnsi="宋体" w:cs="宋体"/>
                <w:kern w:val="0"/>
                <w:sz w:val="24"/>
              </w:rPr>
            </w:pPr>
            <w:r>
              <w:rPr>
                <w:rFonts w:hint="eastAsia" w:ascii="宋体" w:hAnsi="宋体" w:cs="宋体"/>
                <w:kern w:val="0"/>
                <w:sz w:val="24"/>
              </w:rPr>
              <w:t>3、投标保证金缴纳截止时间：</w:t>
            </w:r>
            <w:r>
              <w:rPr>
                <w:rFonts w:hint="eastAsia" w:asciiTheme="majorEastAsia" w:hAnsiTheme="majorEastAsia" w:eastAsiaTheme="majorEastAsia" w:cstheme="majorEastAsia"/>
                <w:sz w:val="24"/>
              </w:rPr>
              <w:t>北京时间20</w:t>
            </w:r>
            <w:r>
              <w:rPr>
                <w:rFonts w:hint="eastAsia" w:ascii="宋体" w:hAnsi="宋体" w:cs="Arial"/>
                <w:sz w:val="24"/>
              </w:rPr>
              <w:t>19</w:t>
            </w:r>
            <w:r>
              <w:rPr>
                <w:rFonts w:hint="eastAsia" w:ascii="宋体" w:hAnsi="宋体" w:cs="宋体"/>
                <w:sz w:val="24"/>
              </w:rPr>
              <w:t>年</w:t>
            </w:r>
            <w:r>
              <w:rPr>
                <w:rFonts w:hint="eastAsia" w:ascii="宋体" w:hAnsi="宋体" w:cs="Arial"/>
                <w:sz w:val="24"/>
                <w:lang w:val="en-US" w:eastAsia="zh-CN"/>
              </w:rPr>
              <w:t>10</w:t>
            </w:r>
            <w:r>
              <w:rPr>
                <w:rFonts w:hint="eastAsia" w:ascii="宋体" w:hAnsi="宋体" w:cs="Arial"/>
                <w:sz w:val="24"/>
              </w:rPr>
              <w:t>月</w:t>
            </w:r>
            <w:r>
              <w:rPr>
                <w:rFonts w:hint="eastAsia" w:ascii="宋体" w:hAnsi="宋体" w:cs="Arial"/>
                <w:sz w:val="24"/>
                <w:lang w:val="en-US" w:eastAsia="zh-CN"/>
              </w:rPr>
              <w:t>29</w:t>
            </w:r>
            <w:r>
              <w:rPr>
                <w:rFonts w:hint="eastAsia" w:ascii="宋体" w:hAnsi="宋体" w:cs="Arial"/>
                <w:sz w:val="24"/>
              </w:rPr>
              <w:t>日09</w:t>
            </w:r>
            <w:r>
              <w:rPr>
                <w:rFonts w:hint="eastAsia" w:ascii="宋体" w:hAnsi="宋体" w:cs="宋体"/>
                <w:sz w:val="24"/>
              </w:rPr>
              <w:t>:00</w:t>
            </w:r>
          </w:p>
          <w:p>
            <w:pPr>
              <w:snapToGrid w:val="0"/>
              <w:spacing w:line="360" w:lineRule="auto"/>
              <w:rPr>
                <w:rFonts w:asciiTheme="majorEastAsia" w:hAnsiTheme="majorEastAsia" w:eastAsiaTheme="majorEastAsia" w:cstheme="majorEastAsia"/>
                <w:sz w:val="24"/>
              </w:rPr>
            </w:pPr>
            <w:r>
              <w:rPr>
                <w:rFonts w:hint="eastAsia" w:ascii="宋体" w:hAnsi="宋体" w:cs="宋体"/>
                <w:kern w:val="0"/>
                <w:sz w:val="24"/>
              </w:rPr>
              <w:t>4、投标保证金的有效期：同投标有效期。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val="en-US" w:eastAsia="zh-CN"/>
              </w:rPr>
              <w:t>9</w:t>
            </w:r>
          </w:p>
        </w:tc>
        <w:tc>
          <w:tcPr>
            <w:tcW w:w="26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实质性条款</w:t>
            </w:r>
          </w:p>
        </w:tc>
        <w:tc>
          <w:tcPr>
            <w:tcW w:w="5894"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left="0" w:leftChars="0"/>
              <w:rPr>
                <w:rFonts w:ascii="宋体" w:hAnsi="宋体" w:eastAsia="宋体" w:cs="宋体"/>
                <w:sz w:val="24"/>
                <w:szCs w:val="24"/>
              </w:rPr>
            </w:pPr>
            <w:r>
              <w:rPr>
                <w:rFonts w:hint="eastAsia" w:ascii="宋体" w:hAnsi="宋体" w:eastAsia="宋体" w:cs="宋体"/>
                <w:sz w:val="24"/>
                <w:szCs w:val="24"/>
              </w:rPr>
              <w:t>带“▲”的条款是实质性条款，投标文件须作出实质性响应，否则作无效投标处理。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10</w:t>
            </w:r>
          </w:p>
        </w:tc>
        <w:tc>
          <w:tcPr>
            <w:tcW w:w="26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b/>
                <w:bCs/>
                <w:color w:val="000000"/>
                <w:sz w:val="24"/>
              </w:rPr>
            </w:pPr>
            <w:r>
              <w:rPr>
                <w:rFonts w:hint="eastAsia" w:ascii="宋体" w:hAnsi="宋体"/>
                <w:b/>
                <w:bCs/>
                <w:color w:val="000000"/>
                <w:sz w:val="24"/>
              </w:rPr>
              <w:t>▲项目最高限价</w:t>
            </w:r>
          </w:p>
        </w:tc>
        <w:tc>
          <w:tcPr>
            <w:tcW w:w="5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b/>
                <w:bCs/>
                <w:color w:val="000000"/>
                <w:sz w:val="24"/>
              </w:rPr>
            </w:pPr>
            <w:r>
              <w:rPr>
                <w:rFonts w:hint="eastAsia" w:ascii="宋体" w:hAnsi="宋体"/>
                <w:b/>
                <w:bCs/>
                <w:color w:val="000000"/>
                <w:sz w:val="24"/>
              </w:rPr>
              <w:t>最高限价为</w:t>
            </w:r>
            <w:r>
              <w:rPr>
                <w:rFonts w:ascii="宋体" w:hAnsi="宋体"/>
                <w:b/>
                <w:bCs/>
                <w:color w:val="000000"/>
                <w:sz w:val="24"/>
              </w:rPr>
              <w:t>9</w:t>
            </w:r>
            <w:r>
              <w:rPr>
                <w:rFonts w:hint="eastAsia" w:ascii="宋体" w:hAnsi="宋体"/>
                <w:b/>
                <w:bCs/>
                <w:color w:val="000000"/>
                <w:sz w:val="24"/>
              </w:rPr>
              <w:t>0万元。</w:t>
            </w:r>
          </w:p>
          <w:p>
            <w:pPr>
              <w:autoSpaceDE w:val="0"/>
              <w:autoSpaceDN w:val="0"/>
              <w:adjustRightInd w:val="0"/>
              <w:spacing w:line="360" w:lineRule="exact"/>
              <w:rPr>
                <w:rFonts w:ascii="宋体" w:hAnsi="宋体"/>
                <w:b/>
                <w:bCs/>
                <w:color w:val="000000"/>
                <w:sz w:val="24"/>
              </w:rPr>
            </w:pPr>
            <w:r>
              <w:rPr>
                <w:rFonts w:hint="eastAsia" w:ascii="宋体" w:hAnsi="宋体"/>
                <w:b/>
                <w:bCs/>
                <w:color w:val="000000"/>
                <w:sz w:val="24"/>
              </w:rPr>
              <w:t>如投标人的投标报价超过最高限价，其投标文件作无效标处理。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val="en-US" w:eastAsia="zh-CN"/>
              </w:rPr>
              <w:t>1</w:t>
            </w:r>
          </w:p>
        </w:tc>
        <w:tc>
          <w:tcPr>
            <w:tcW w:w="26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bCs/>
                <w:szCs w:val="21"/>
              </w:rPr>
            </w:pPr>
            <w:r>
              <w:rPr>
                <w:rFonts w:hint="eastAsia" w:ascii="宋体" w:hAnsi="宋体"/>
                <w:bCs/>
                <w:szCs w:val="21"/>
              </w:rPr>
              <w:t>开标顺序</w:t>
            </w:r>
          </w:p>
        </w:tc>
        <w:tc>
          <w:tcPr>
            <w:tcW w:w="5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b/>
                <w:sz w:val="24"/>
              </w:rPr>
            </w:pPr>
            <w:r>
              <w:rPr>
                <w:rFonts w:hint="eastAsia" w:ascii="宋体" w:hAnsi="宋体"/>
                <w:b/>
                <w:sz w:val="24"/>
              </w:rPr>
              <w:t>先开资格证明文件和商务与技术文件，待资格证明文件和商务与技术文件评审结果公布后，再开报价文件。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val="en-US" w:eastAsia="zh-CN"/>
              </w:rPr>
              <w:t>2</w:t>
            </w:r>
          </w:p>
        </w:tc>
        <w:tc>
          <w:tcPr>
            <w:tcW w:w="26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解释权</w:t>
            </w:r>
          </w:p>
        </w:tc>
        <w:tc>
          <w:tcPr>
            <w:tcW w:w="5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本招标文件解释权属于招标人和</w:t>
            </w:r>
            <w:r>
              <w:rPr>
                <w:rFonts w:hint="eastAsia" w:cs="Arial" w:asciiTheme="minorEastAsia" w:hAnsiTheme="minorEastAsia" w:eastAsiaTheme="minorEastAsia"/>
                <w:sz w:val="24"/>
              </w:rPr>
              <w:t>代理机构</w:t>
            </w:r>
          </w:p>
        </w:tc>
      </w:tr>
    </w:tbl>
    <w:p>
      <w:pPr>
        <w:widowControl/>
        <w:jc w:val="left"/>
      </w:pPr>
    </w:p>
    <w:p>
      <w:pPr>
        <w:pStyle w:val="4"/>
      </w:pPr>
      <w:bookmarkStart w:id="31" w:name="_Toc19880417"/>
      <w:r>
        <w:rPr>
          <w:rFonts w:hint="eastAsia"/>
        </w:rPr>
        <w:t>一 、总  则</w:t>
      </w:r>
      <w:bookmarkEnd w:id="31"/>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 xml:space="preserve"> 适用范围</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（二）定义</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zh-CN"/>
        </w:rPr>
        <w:t>“采购组织机构”指采购人委托组织招标的采购代理机构。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2、采购人：是指委托采购代理机构采购本次项目的国家机关、事业单位和团体组织。</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指向</w:t>
      </w:r>
      <w:r>
        <w:rPr>
          <w:rFonts w:hint="eastAsia" w:asciiTheme="minorEastAsia" w:hAnsiTheme="minorEastAsia" w:eastAsiaTheme="minorEastAsia"/>
          <w:sz w:val="24"/>
        </w:rPr>
        <w:t>采购</w:t>
      </w:r>
      <w:r>
        <w:rPr>
          <w:rFonts w:hint="eastAsia" w:asciiTheme="minorEastAsia" w:hAnsiTheme="minorEastAsia" w:eastAsiaTheme="minorEastAsia"/>
          <w:sz w:val="24"/>
          <w:lang w:val="zh-CN"/>
        </w:rPr>
        <w:t>组织</w:t>
      </w:r>
      <w:r>
        <w:rPr>
          <w:rFonts w:hint="eastAsia" w:asciiTheme="minorEastAsia" w:hAnsiTheme="minorEastAsia" w:eastAsiaTheme="minorEastAsia"/>
          <w:sz w:val="24"/>
        </w:rPr>
        <w:t>机构</w:t>
      </w:r>
      <w:r>
        <w:rPr>
          <w:rFonts w:asciiTheme="minorEastAsia" w:hAnsiTheme="minorEastAsia" w:eastAsiaTheme="minorEastAsia"/>
          <w:sz w:val="24"/>
        </w:rPr>
        <w:t>提交投标文件的单位或个人。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货物</w:t>
      </w:r>
      <w:r>
        <w:rPr>
          <w:rFonts w:hint="eastAsia" w:asciiTheme="minorEastAsia" w:hAnsiTheme="minorEastAsia" w:eastAsiaTheme="minorEastAsia"/>
          <w:sz w:val="24"/>
        </w:rPr>
        <w:t>：</w:t>
      </w:r>
      <w:r>
        <w:rPr>
          <w:rFonts w:asciiTheme="minorEastAsia" w:hAnsiTheme="minorEastAsia" w:eastAsiaTheme="minorEastAsia"/>
          <w:sz w:val="24"/>
        </w:rPr>
        <w:t>是指各种形态和种类的物品，包括原材料、燃料、设备、产品等。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服务</w:t>
      </w:r>
      <w:r>
        <w:rPr>
          <w:rFonts w:hint="eastAsia" w:asciiTheme="minorEastAsia" w:hAnsiTheme="minorEastAsia" w:eastAsiaTheme="minorEastAsia"/>
          <w:sz w:val="24"/>
        </w:rPr>
        <w:t>：</w:t>
      </w:r>
      <w:r>
        <w:rPr>
          <w:rFonts w:asciiTheme="minorEastAsia" w:hAnsiTheme="minorEastAsia" w:eastAsiaTheme="minorEastAsia"/>
          <w:sz w:val="24"/>
        </w:rPr>
        <w:t>是指除货物和工程以外的政府采购对象，包括各类专业服务、信息网络开发服务、金融保险服务、运输服务，以及维修与维护服务等。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“书面形式”包括信函、传真等。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“▲”系指实质性要求条款。</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（三）投标费用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不论投标结果如何，投标人均应自行承担所有与投标有关的全部费用（招标文件有相关规定除外）。</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（四）特别说明</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sz w:val="24"/>
        </w:rPr>
        <w:t>指</w:t>
      </w:r>
      <w:r>
        <w:rPr>
          <w:rFonts w:asciiTheme="minorEastAsia" w:hAnsiTheme="minorEastAsia" w:eastAsiaTheme="minorEastAsia"/>
          <w:sz w:val="24"/>
        </w:rPr>
        <w:t>本法人或控股公司正式员工）。</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sz w:val="24"/>
        </w:rPr>
        <w:tab/>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sz w:val="24"/>
        </w:rPr>
        <w:t>，</w:t>
      </w:r>
      <w:r>
        <w:rPr>
          <w:rFonts w:asciiTheme="minorEastAsia" w:hAnsiTheme="minorEastAsia" w:eastAsiaTheme="minorEastAsia"/>
          <w:sz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5、为采购项目提供整体设计、规范编制或者项目管理、监理、检测等服务的供应商，不得再参加该采购项目的其他采购活动。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6、投标文件格式中的表格式样可以根据项目差别做适当调整,但应当保持表格样式基本形态不变。</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7、单位负责人为同一人或者存在直接控股、管理关系的不同供应商，不得参加同一合同项下的政府采购活动。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8、本项目不允许分包。</w:t>
      </w:r>
    </w:p>
    <w:p>
      <w:pPr>
        <w:pStyle w:val="4"/>
      </w:pPr>
      <w:bookmarkStart w:id="32" w:name="_Toc19880418"/>
      <w:r>
        <w:rPr>
          <w:rFonts w:hint="eastAsia"/>
        </w:rPr>
        <w:t>二、招标文件</w:t>
      </w:r>
      <w:bookmarkEnd w:id="32"/>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（一）招标文件由招标文件总目录所列内容组成。</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（二）招标文件的澄清或修改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sz w:val="24"/>
        </w:rPr>
        <w:t>。</w:t>
      </w:r>
    </w:p>
    <w:p>
      <w:pPr>
        <w:pStyle w:val="4"/>
      </w:pPr>
      <w:r>
        <w:rPr>
          <w:rFonts w:hint="eastAsia"/>
        </w:rPr>
        <w:t xml:space="preserve"> </w:t>
      </w:r>
      <w:bookmarkStart w:id="33" w:name="_Toc19880419"/>
      <w:r>
        <w:rPr>
          <w:rFonts w:hint="eastAsia"/>
        </w:rPr>
        <w:t>三、投标文件</w:t>
      </w:r>
      <w:bookmarkEnd w:id="33"/>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（一）投标文件的组成</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注：投标文件由资格证明文件、商务与技术文件、报价文件组成。</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▲1、资格证明内容的组成：</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（1）投标声明书（附件2）；</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（2）授权委托书（附件3）；</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（3）提供有效的营业执照复印件；如事业单位参加投标的，则提供有效的《事业单位法人证书》复印件；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（4）提供最近年度的资产负债表、利润表，或者银行出具的资信证明；</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提供投标截止时间前六个月内（至少提供其中一个月）缴纳社会保障资金凭据（提供专用收据或社会保险缴纳清单或社保部门出具的社保证明）和缴纳税收凭证（依法免税的，提供相应证明资料证明依法免税）；</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（6）提供采购公告中符合供应商特定条件的有效资质证书复印件（投标供应商特定条件中有要求的必须提供），以及需要说明的其他资料；</w:t>
      </w:r>
    </w:p>
    <w:p>
      <w:pPr>
        <w:snapToGrid w:val="0"/>
        <w:spacing w:line="360" w:lineRule="auto"/>
        <w:ind w:firstLine="482" w:firstLineChars="200"/>
        <w:rPr>
          <w:rFonts w:ascii="宋体" w:hAnsi="宋体" w:cs="宋体"/>
          <w:sz w:val="24"/>
          <w:u w:val="single"/>
        </w:rPr>
      </w:pPr>
      <w:r>
        <w:rPr>
          <w:rFonts w:hint="eastAsia" w:ascii="宋体" w:hAnsi="宋体"/>
          <w:b/>
          <w:sz w:val="24"/>
        </w:rPr>
        <w:t>2、商务与技术内容的组成：</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（1）、供应商情况介绍（附件4）；</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（2）、技术响应表（附件5）；</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（3）、类似项目业绩一览表（附件7）；</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（4）、项目实施人员一览表（附件8）；</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（5）、对本项目采购需求的理解、技术服务方案、项目组织实施方案</w:t>
      </w:r>
      <w:r>
        <w:rPr>
          <w:rFonts w:asciiTheme="minorEastAsia" w:hAnsiTheme="minorEastAsia" w:eastAsiaTheme="minorEastAsia"/>
          <w:sz w:val="24"/>
        </w:rPr>
        <w:t>、</w:t>
      </w:r>
      <w:r>
        <w:rPr>
          <w:rFonts w:hint="eastAsia" w:asciiTheme="minorEastAsia" w:hAnsiTheme="minorEastAsia" w:eastAsiaTheme="minorEastAsia"/>
          <w:sz w:val="24"/>
        </w:rPr>
        <w:t>培训计划及维护能力、售后服务及技术团队等]（格式自拟）；</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（6）、供应商认为需要提供的其他资料（包括可能影响供应商商务与技术内容评分的各类证明材料）；</w:t>
      </w:r>
    </w:p>
    <w:p>
      <w:pPr>
        <w:snapToGrid w:val="0"/>
        <w:spacing w:line="360" w:lineRule="auto"/>
        <w:ind w:firstLine="482" w:firstLineChars="200"/>
        <w:rPr>
          <w:rFonts w:ascii="宋体" w:hAnsi="宋体"/>
          <w:b/>
          <w:sz w:val="24"/>
        </w:rPr>
      </w:pPr>
      <w:r>
        <w:rPr>
          <w:rFonts w:hint="eastAsia" w:ascii="宋体" w:hAnsi="宋体"/>
          <w:b/>
          <w:sz w:val="24"/>
        </w:rPr>
        <w:t>3、报价文件的组成：</w:t>
      </w:r>
    </w:p>
    <w:p>
      <w:pPr>
        <w:snapToGrid w:val="0"/>
        <w:spacing w:line="360" w:lineRule="auto"/>
        <w:ind w:firstLine="480" w:firstLineChars="200"/>
        <w:rPr>
          <w:rFonts w:hAnsi="宋体"/>
          <w:sz w:val="24"/>
        </w:rPr>
      </w:pPr>
      <w:r>
        <w:rPr>
          <w:rFonts w:hint="eastAsia" w:hAnsi="宋体"/>
          <w:sz w:val="24"/>
        </w:rPr>
        <w:t>（1）开标一览表（附件10）；</w:t>
      </w:r>
    </w:p>
    <w:p>
      <w:pPr>
        <w:snapToGrid w:val="0"/>
        <w:spacing w:line="360" w:lineRule="auto"/>
        <w:ind w:firstLine="480" w:firstLineChars="200"/>
        <w:rPr>
          <w:rFonts w:hint="eastAsia" w:hAnsi="宋体"/>
          <w:sz w:val="24"/>
        </w:rPr>
      </w:pPr>
      <w:r>
        <w:rPr>
          <w:rFonts w:hint="eastAsia" w:hAnsi="宋体"/>
          <w:sz w:val="24"/>
        </w:rPr>
        <w:t>（2）报价明细表（附件11）</w:t>
      </w:r>
    </w:p>
    <w:p>
      <w:pPr>
        <w:snapToGrid w:val="0"/>
        <w:spacing w:line="360" w:lineRule="auto"/>
        <w:ind w:firstLine="420" w:firstLineChars="200"/>
      </w:pPr>
      <w:r>
        <w:rPr>
          <w:rFonts w:hint="eastAsia"/>
        </w:rPr>
        <w:t xml:space="preserve"> </w:t>
      </w:r>
      <w:r>
        <w:rPr>
          <w:rFonts w:hint="eastAsia" w:hAnsi="宋体"/>
          <w:sz w:val="24"/>
        </w:rPr>
        <w:t>（3）商务响应表（附件12）</w:t>
      </w:r>
    </w:p>
    <w:p>
      <w:pPr>
        <w:snapToGrid w:val="0"/>
        <w:spacing w:line="360" w:lineRule="auto"/>
        <w:ind w:firstLine="480" w:firstLineChars="200"/>
        <w:rPr>
          <w:rFonts w:hAnsi="宋体"/>
          <w:sz w:val="24"/>
        </w:rPr>
      </w:pPr>
      <w:r>
        <w:rPr>
          <w:rFonts w:hint="eastAsia" w:hAnsi="宋体"/>
          <w:sz w:val="24"/>
        </w:rPr>
        <w:t>（4）投标人认为其他需要说明的内容；</w:t>
      </w:r>
    </w:p>
    <w:p>
      <w:pPr>
        <w:spacing w:line="360" w:lineRule="auto"/>
        <w:ind w:firstLine="482" w:firstLineChars="200"/>
        <w:rPr>
          <w:rFonts w:ascii="宋体" w:hAnsi="宋体" w:cs="宋体"/>
          <w:b/>
          <w:kern w:val="0"/>
          <w:sz w:val="24"/>
        </w:rPr>
      </w:pPr>
      <w:r>
        <w:rPr>
          <w:rFonts w:hint="eastAsia" w:ascii="宋体"/>
          <w:b/>
          <w:sz w:val="24"/>
          <w:lang w:val="zh-CN"/>
        </w:rPr>
        <w:t>（三）投标报价</w:t>
      </w:r>
    </w:p>
    <w:p>
      <w:pPr>
        <w:autoSpaceDE w:val="0"/>
        <w:autoSpaceDN w:val="0"/>
        <w:adjustRightInd w:val="0"/>
        <w:spacing w:line="360" w:lineRule="auto"/>
        <w:ind w:firstLine="480"/>
        <w:rPr>
          <w:rFonts w:ascii="宋体"/>
          <w:sz w:val="24"/>
          <w:lang w:val="zh-CN"/>
        </w:rPr>
      </w:pPr>
      <w:r>
        <w:rPr>
          <w:rFonts w:hint="eastAsia" w:ascii="宋体" w:hAnsi="宋体" w:cs="宋体"/>
          <w:kern w:val="0"/>
          <w:sz w:val="24"/>
          <w:lang w:val="zh-CN"/>
        </w:rPr>
        <w:t>1</w:t>
      </w:r>
      <w:r>
        <w:rPr>
          <w:rFonts w:hint="eastAsia" w:ascii="宋体" w:hAnsi="宋体" w:cs="宋体"/>
          <w:kern w:val="0"/>
          <w:sz w:val="24"/>
        </w:rPr>
        <w:t>.</w:t>
      </w:r>
      <w:r>
        <w:rPr>
          <w:rFonts w:hint="eastAsia" w:ascii="宋体" w:hAnsi="宋体" w:cs="宋体"/>
          <w:kern w:val="0"/>
          <w:sz w:val="24"/>
          <w:lang w:val="zh-CN"/>
        </w:rPr>
        <w:t>投标报价应按招标文件中相关附表《</w:t>
      </w:r>
      <w:r>
        <w:rPr>
          <w:rFonts w:hint="eastAsia" w:ascii="宋体" w:hAnsi="宋体"/>
          <w:sz w:val="24"/>
        </w:rPr>
        <w:t>开标一览表</w:t>
      </w:r>
      <w:r>
        <w:rPr>
          <w:rFonts w:hint="eastAsia" w:ascii="宋体" w:hAnsi="宋体" w:cs="宋体"/>
          <w:kern w:val="0"/>
          <w:sz w:val="24"/>
          <w:lang w:val="zh-CN"/>
        </w:rPr>
        <w:t>》、《</w:t>
      </w:r>
      <w:r>
        <w:rPr>
          <w:rFonts w:hint="eastAsia" w:ascii="宋体" w:hAnsi="宋体"/>
          <w:sz w:val="24"/>
        </w:rPr>
        <w:t>投标报价明细表</w:t>
      </w:r>
      <w:r>
        <w:rPr>
          <w:rFonts w:hint="eastAsia" w:ascii="宋体" w:hAnsi="宋体" w:cs="宋体"/>
          <w:kern w:val="0"/>
          <w:sz w:val="24"/>
          <w:lang w:val="zh-CN"/>
        </w:rPr>
        <w:t>》格式填写。</w:t>
      </w:r>
    </w:p>
    <w:p>
      <w:pPr>
        <w:autoSpaceDE w:val="0"/>
        <w:autoSpaceDN w:val="0"/>
        <w:adjustRightInd w:val="0"/>
        <w:spacing w:line="440" w:lineRule="exact"/>
        <w:ind w:firstLine="482" w:firstLineChars="200"/>
        <w:rPr>
          <w:rFonts w:ascii="宋体"/>
          <w:sz w:val="24"/>
          <w:u w:val="single"/>
          <w:lang w:val="zh-CN"/>
        </w:rPr>
      </w:pPr>
      <w:r>
        <w:rPr>
          <w:rFonts w:hint="eastAsia" w:ascii="黑体" w:eastAsia="黑体"/>
          <w:b/>
          <w:sz w:val="24"/>
        </w:rPr>
        <w:t>▲</w:t>
      </w:r>
      <w:r>
        <w:rPr>
          <w:rFonts w:hint="eastAsia" w:ascii="宋体"/>
          <w:sz w:val="24"/>
          <w:lang w:val="zh-CN"/>
        </w:rPr>
        <w:t>2</w:t>
      </w:r>
      <w:r>
        <w:rPr>
          <w:rFonts w:hint="eastAsia" w:ascii="宋体"/>
          <w:sz w:val="24"/>
        </w:rPr>
        <w:t>.</w:t>
      </w:r>
      <w:r>
        <w:rPr>
          <w:rFonts w:hint="eastAsia" w:ascii="宋体"/>
          <w:sz w:val="24"/>
          <w:u w:val="single"/>
          <w:lang w:val="zh-CN"/>
        </w:rPr>
        <w:t>投标报价是包括涉及本项目全部工作实施所发生的全部费用，</w:t>
      </w:r>
      <w:r>
        <w:rPr>
          <w:rFonts w:hint="eastAsia" w:ascii="宋体" w:hAnsi="宋体"/>
          <w:b/>
          <w:sz w:val="24"/>
          <w:u w:val="single"/>
        </w:rPr>
        <w:t>供应商的报价（合价）应包括因承包本次采购项目所需的货物价款、劳务、质检（自检）、运输、装卸、安装调试、缺陷修复、验收、管理、风险、保险、税费、质保、培训及不可预见费用等一切费用</w:t>
      </w:r>
      <w:r>
        <w:rPr>
          <w:rFonts w:hint="eastAsia" w:ascii="宋体" w:hAnsi="宋体"/>
          <w:b/>
          <w:bCs/>
          <w:sz w:val="24"/>
          <w:u w:val="single"/>
        </w:rPr>
        <w:t>。</w:t>
      </w:r>
      <w:r>
        <w:rPr>
          <w:rFonts w:hint="eastAsia" w:ascii="宋体"/>
          <w:sz w:val="24"/>
          <w:u w:val="single"/>
          <w:lang w:val="zh-CN"/>
        </w:rPr>
        <w:t>全部费用已包含在开标一览表的投标总报价中。</w:t>
      </w:r>
    </w:p>
    <w:p>
      <w:pPr>
        <w:autoSpaceDE w:val="0"/>
        <w:autoSpaceDN w:val="0"/>
        <w:adjustRightInd w:val="0"/>
        <w:spacing w:line="360" w:lineRule="auto"/>
        <w:ind w:firstLine="236" w:firstLineChars="98"/>
        <w:rPr>
          <w:rFonts w:ascii="宋体"/>
          <w:sz w:val="24"/>
          <w:lang w:val="zh-CN"/>
        </w:rPr>
      </w:pPr>
      <w:r>
        <w:rPr>
          <w:rFonts w:hint="eastAsia" w:ascii="黑体" w:eastAsia="黑体"/>
          <w:b/>
          <w:sz w:val="24"/>
        </w:rPr>
        <w:t>▲</w:t>
      </w:r>
      <w:r>
        <w:rPr>
          <w:rFonts w:hint="eastAsia" w:ascii="宋体"/>
          <w:sz w:val="24"/>
          <w:lang w:val="zh-CN"/>
        </w:rPr>
        <w:t>3</w:t>
      </w:r>
      <w:r>
        <w:rPr>
          <w:rFonts w:hint="eastAsia" w:ascii="宋体"/>
          <w:sz w:val="24"/>
        </w:rPr>
        <w:t>.</w:t>
      </w:r>
      <w:r>
        <w:rPr>
          <w:rFonts w:hint="eastAsia" w:ascii="宋体"/>
          <w:sz w:val="24"/>
          <w:lang w:val="zh-CN"/>
        </w:rPr>
        <w:t>投标文件只允许有一个报价，有选择的报价将不予接受。</w:t>
      </w:r>
    </w:p>
    <w:p>
      <w:pPr>
        <w:autoSpaceDE w:val="0"/>
        <w:autoSpaceDN w:val="0"/>
        <w:adjustRightInd w:val="0"/>
        <w:spacing w:line="360" w:lineRule="auto"/>
        <w:ind w:firstLine="236" w:firstLineChars="98"/>
        <w:rPr>
          <w:rFonts w:ascii="宋体"/>
          <w:sz w:val="24"/>
          <w:lang w:val="zh-CN"/>
        </w:rPr>
      </w:pPr>
      <w:r>
        <w:rPr>
          <w:rFonts w:hint="eastAsia" w:ascii="黑体" w:eastAsia="黑体"/>
          <w:b/>
          <w:sz w:val="24"/>
        </w:rPr>
        <w:t>▲</w:t>
      </w:r>
      <w:r>
        <w:rPr>
          <w:rFonts w:hint="eastAsia" w:ascii="宋体"/>
          <w:sz w:val="24"/>
          <w:lang w:val="zh-CN"/>
        </w:rPr>
        <w:t>4</w:t>
      </w:r>
      <w:r>
        <w:rPr>
          <w:rFonts w:hint="eastAsia" w:ascii="宋体"/>
          <w:sz w:val="24"/>
        </w:rPr>
        <w:t>.</w:t>
      </w:r>
      <w:r>
        <w:rPr>
          <w:rFonts w:hint="eastAsia" w:ascii="宋体"/>
          <w:sz w:val="24"/>
          <w:lang w:val="zh-CN"/>
        </w:rPr>
        <w:t>本项目设有最高限价，</w:t>
      </w:r>
      <w:r>
        <w:rPr>
          <w:rFonts w:hint="eastAsia" w:ascii="宋体" w:hAnsi="宋体" w:cs="宋体"/>
          <w:bCs/>
          <w:sz w:val="24"/>
        </w:rPr>
        <w:t>最高限价见前附表</w:t>
      </w:r>
      <w:r>
        <w:rPr>
          <w:rFonts w:hint="eastAsia" w:ascii="宋体" w:hAnsi="宋体" w:cs="宋体"/>
          <w:sz w:val="24"/>
          <w:lang w:val="zh-CN"/>
        </w:rPr>
        <w:t>。</w:t>
      </w:r>
      <w:r>
        <w:rPr>
          <w:rFonts w:hint="eastAsia" w:ascii="宋体"/>
          <w:sz w:val="24"/>
          <w:lang w:val="zh-CN"/>
        </w:rPr>
        <w:t>若投标报价超过最高限价的，其投标文件作无效标处理。</w:t>
      </w:r>
    </w:p>
    <w:p>
      <w:pPr>
        <w:tabs>
          <w:tab w:val="left" w:pos="574"/>
        </w:tabs>
        <w:wordWrap w:val="0"/>
        <w:adjustRightInd w:val="0"/>
        <w:spacing w:line="288" w:lineRule="auto"/>
        <w:ind w:firstLine="480" w:firstLineChars="200"/>
        <w:textAlignment w:val="baseline"/>
        <w:rPr>
          <w:kern w:val="0"/>
          <w:sz w:val="24"/>
        </w:rPr>
      </w:pPr>
      <w:r>
        <w:rPr>
          <w:rFonts w:hint="eastAsia" w:ascii="宋体" w:hAnsi="宋体"/>
          <w:kern w:val="0"/>
          <w:sz w:val="24"/>
        </w:rPr>
        <w:t>5.</w:t>
      </w:r>
      <w:r>
        <w:rPr>
          <w:rFonts w:hint="eastAsia"/>
          <w:kern w:val="0"/>
          <w:sz w:val="24"/>
        </w:rPr>
        <w:t>投标报价明细表</w:t>
      </w:r>
      <w:r>
        <w:rPr>
          <w:rFonts w:hint="eastAsia" w:ascii="宋体" w:hAnsi="宋体"/>
          <w:kern w:val="0"/>
          <w:sz w:val="24"/>
        </w:rPr>
        <w:t>及开标一览表</w:t>
      </w:r>
      <w:r>
        <w:rPr>
          <w:rFonts w:hint="eastAsia"/>
          <w:kern w:val="0"/>
          <w:sz w:val="24"/>
        </w:rPr>
        <w:t>中每单项必须填写单价和合价</w:t>
      </w:r>
      <w:r>
        <w:rPr>
          <w:kern w:val="0"/>
          <w:sz w:val="24"/>
        </w:rPr>
        <w:t>,</w:t>
      </w:r>
      <w:r>
        <w:rPr>
          <w:rFonts w:hint="eastAsia"/>
          <w:kern w:val="0"/>
          <w:sz w:val="24"/>
        </w:rPr>
        <w:t xml:space="preserve"> 其它属于招标内容范围内而未列入设备材料清单子目内的，视为己包含或分配到设备材料清单的其他单价或合价之中。</w:t>
      </w:r>
    </w:p>
    <w:p>
      <w:pPr>
        <w:tabs>
          <w:tab w:val="left" w:pos="574"/>
        </w:tabs>
        <w:wordWrap w:val="0"/>
        <w:adjustRightInd w:val="0"/>
        <w:spacing w:line="288" w:lineRule="auto"/>
        <w:ind w:firstLine="482" w:firstLineChars="200"/>
        <w:textAlignment w:val="baseline"/>
        <w:rPr>
          <w:rFonts w:ascii="黑体" w:hAnsi="黑体" w:eastAsia="黑体"/>
          <w:b/>
          <w:kern w:val="0"/>
          <w:sz w:val="24"/>
        </w:rPr>
      </w:pPr>
      <w:r>
        <w:rPr>
          <w:rFonts w:hint="eastAsia" w:ascii="黑体" w:hAnsi="黑体" w:eastAsia="黑体"/>
          <w:b/>
          <w:kern w:val="0"/>
          <w:sz w:val="24"/>
        </w:rPr>
        <w:t>6投标人所有优惠条件和优惠费用不得降低和影响本采购项目质量。</w:t>
      </w:r>
    </w:p>
    <w:p>
      <w:pPr>
        <w:numPr>
          <w:ilvl w:val="1"/>
          <w:numId w:val="0"/>
        </w:numPr>
        <w:tabs>
          <w:tab w:val="left" w:pos="574"/>
        </w:tabs>
        <w:wordWrap w:val="0"/>
        <w:adjustRightInd w:val="0"/>
        <w:spacing w:line="360" w:lineRule="auto"/>
        <w:ind w:firstLine="482" w:firstLineChars="200"/>
        <w:textAlignment w:val="baseline"/>
        <w:rPr>
          <w:rFonts w:ascii="黑体" w:hAnsi="黑体" w:eastAsia="黑体"/>
          <w:b/>
          <w:kern w:val="0"/>
          <w:sz w:val="24"/>
        </w:rPr>
      </w:pPr>
      <w:r>
        <w:rPr>
          <w:rFonts w:hint="eastAsia" w:ascii="黑体" w:hAnsi="黑体" w:eastAsia="黑体"/>
          <w:b/>
          <w:kern w:val="0"/>
          <w:sz w:val="24"/>
        </w:rPr>
        <w:t>7.附件中除空白部分由投标人自报外，其余内容作为投标报价的共同基础，如投标人擅自更改将引起废标。</w:t>
      </w:r>
    </w:p>
    <w:p>
      <w:pPr>
        <w:numPr>
          <w:ilvl w:val="0"/>
          <w:numId w:val="2"/>
        </w:numPr>
        <w:spacing w:line="360" w:lineRule="auto"/>
        <w:rPr>
          <w:rFonts w:asciiTheme="minorEastAsia" w:hAnsiTheme="minorEastAsia" w:eastAsiaTheme="minorEastAsia"/>
          <w:b/>
          <w:bCs/>
          <w:kern w:val="0"/>
          <w:sz w:val="24"/>
        </w:rPr>
      </w:pPr>
      <w:r>
        <w:rPr>
          <w:rFonts w:hint="eastAsia" w:asciiTheme="minorEastAsia" w:hAnsiTheme="minorEastAsia" w:eastAsiaTheme="minorEastAsia"/>
          <w:b/>
          <w:bCs/>
          <w:kern w:val="0"/>
          <w:sz w:val="24"/>
        </w:rPr>
        <w:t>投标文件的</w:t>
      </w:r>
      <w:r>
        <w:rPr>
          <w:rFonts w:hint="eastAsia" w:asciiTheme="minorEastAsia" w:hAnsiTheme="minorEastAsia"/>
          <w:b/>
          <w:bCs/>
          <w:kern w:val="0"/>
          <w:sz w:val="24"/>
        </w:rPr>
        <w:t>制作、封装及</w:t>
      </w:r>
      <w:r>
        <w:rPr>
          <w:rFonts w:hint="eastAsia" w:asciiTheme="minorEastAsia" w:hAnsiTheme="minorEastAsia" w:eastAsiaTheme="minorEastAsia"/>
          <w:b/>
          <w:bCs/>
          <w:kern w:val="0"/>
          <w:sz w:val="24"/>
        </w:rPr>
        <w:t>递交要求</w:t>
      </w:r>
    </w:p>
    <w:p>
      <w:pPr>
        <w:autoSpaceDE w:val="0"/>
        <w:autoSpaceDN w:val="0"/>
        <w:adjustRightInd w:val="0"/>
        <w:spacing w:line="360" w:lineRule="auto"/>
        <w:ind w:firstLine="480"/>
        <w:rPr>
          <w:rFonts w:asciiTheme="minorEastAsia" w:hAnsiTheme="minorEastAsia" w:eastAsiaTheme="minorEastAsia"/>
          <w:b/>
          <w:bCs/>
          <w:sz w:val="24"/>
        </w:rPr>
      </w:pPr>
      <w:r>
        <w:rPr>
          <w:rFonts w:hint="eastAsia" w:asciiTheme="minorEastAsia" w:hAnsiTheme="minorEastAsia"/>
          <w:b/>
          <w:bCs/>
          <w:sz w:val="24"/>
        </w:rPr>
        <w:t>1、投标文件的制作要求</w:t>
      </w:r>
    </w:p>
    <w:p>
      <w:pPr>
        <w:autoSpaceDE w:val="0"/>
        <w:autoSpaceDN w:val="0"/>
        <w:adjustRightInd w:val="0"/>
        <w:spacing w:line="360" w:lineRule="auto"/>
        <w:ind w:firstLine="480"/>
        <w:rPr>
          <w:rFonts w:asciiTheme="minorEastAsia" w:hAnsiTheme="minorEastAsia" w:eastAsiaTheme="minorEastAsia"/>
          <w:kern w:val="0"/>
          <w:sz w:val="24"/>
        </w:rPr>
      </w:pPr>
      <w:r>
        <w:rPr>
          <w:rFonts w:hint="eastAsia" w:asciiTheme="minorEastAsia" w:hAnsiTheme="minorEastAsia"/>
          <w:sz w:val="24"/>
        </w:rPr>
        <w:t>（1）</w:t>
      </w:r>
      <w:r>
        <w:rPr>
          <w:rFonts w:hint="eastAsia" w:asciiTheme="minorEastAsia" w:hAnsiTheme="minorEastAsia" w:eastAsiaTheme="minorEastAsia"/>
          <w:sz w:val="24"/>
        </w:rPr>
        <w:t>投标人</w:t>
      </w:r>
      <w:r>
        <w:rPr>
          <w:rFonts w:hint="eastAsia" w:asciiTheme="minorEastAsia" w:hAnsiTheme="minorEastAsia"/>
          <w:sz w:val="24"/>
        </w:rPr>
        <w:t>应</w:t>
      </w:r>
      <w:r>
        <w:rPr>
          <w:rFonts w:hint="eastAsia" w:asciiTheme="minorEastAsia" w:hAnsiTheme="minorEastAsia" w:eastAsiaTheme="minorEastAsia"/>
          <w:sz w:val="24"/>
        </w:rPr>
        <w:t>按照</w:t>
      </w:r>
      <w:r>
        <w:rPr>
          <w:rFonts w:hint="eastAsia" w:asciiTheme="minorEastAsia" w:hAnsiTheme="minorEastAsia"/>
          <w:sz w:val="24"/>
        </w:rPr>
        <w:t>投标文件组成内容</w:t>
      </w:r>
      <w:r>
        <w:rPr>
          <w:rFonts w:hint="eastAsia" w:asciiTheme="minorEastAsia" w:hAnsiTheme="minorEastAsia" w:eastAsiaTheme="minorEastAsia"/>
          <w:sz w:val="24"/>
        </w:rPr>
        <w:t>及项目招标需求制作投标文件，</w:t>
      </w:r>
      <w:r>
        <w:rPr>
          <w:rFonts w:hint="eastAsia" w:asciiTheme="minorEastAsia" w:hAnsiTheme="minorEastAsia" w:eastAsiaTheme="minorEastAsia"/>
          <w:kern w:val="0"/>
          <w:sz w:val="24"/>
        </w:rPr>
        <w:t>不按招标文件要求制作投标文件的将视情</w:t>
      </w:r>
      <w:r>
        <w:rPr>
          <w:rFonts w:hint="eastAsia" w:asciiTheme="minorEastAsia" w:hAnsiTheme="minorEastAsia"/>
          <w:kern w:val="0"/>
          <w:sz w:val="24"/>
        </w:rPr>
        <w:t>处理（拒收、扣分等），由此产生的责任由投标人自行承担。</w:t>
      </w:r>
    </w:p>
    <w:p>
      <w:pPr>
        <w:autoSpaceDE w:val="0"/>
        <w:autoSpaceDN w:val="0"/>
        <w:adjustRightInd w:val="0"/>
        <w:spacing w:line="360" w:lineRule="auto"/>
        <w:ind w:firstLine="480" w:firstLineChars="200"/>
        <w:rPr>
          <w:rFonts w:asciiTheme="minorEastAsia" w:hAnsiTheme="minorEastAsia" w:eastAsiaTheme="minorEastAsia"/>
          <w:kern w:val="0"/>
          <w:sz w:val="24"/>
          <w:lang w:val="zh-CN"/>
        </w:rPr>
      </w:pPr>
      <w:r>
        <w:rPr>
          <w:rFonts w:hint="eastAsia" w:ascii="宋体" w:hAnsi="宋体"/>
          <w:sz w:val="24"/>
        </w:rPr>
        <w:t>（2）投标人应对所提供的全部资料的真实性承担法律责任，</w:t>
      </w:r>
      <w:r>
        <w:rPr>
          <w:rFonts w:hint="eastAsia" w:asciiTheme="minorEastAsia" w:hAnsiTheme="minorEastAsia"/>
          <w:kern w:val="0"/>
          <w:sz w:val="24"/>
          <w:lang w:val="zh-CN"/>
        </w:rPr>
        <w:t>投标文件</w:t>
      </w:r>
      <w:r>
        <w:rPr>
          <w:rFonts w:hint="eastAsia" w:asciiTheme="minorEastAsia" w:hAnsiTheme="minorEastAsia" w:eastAsiaTheme="minorEastAsia"/>
          <w:kern w:val="0"/>
          <w:sz w:val="24"/>
          <w:lang w:val="zh-CN"/>
        </w:rPr>
        <w:t>内</w:t>
      </w:r>
      <w:r>
        <w:rPr>
          <w:rFonts w:hint="eastAsia" w:asciiTheme="minorEastAsia" w:hAnsiTheme="minorEastAsia"/>
          <w:kern w:val="0"/>
          <w:sz w:val="24"/>
          <w:lang w:val="zh-CN"/>
        </w:rPr>
        <w:t>容中</w:t>
      </w:r>
      <w:r>
        <w:rPr>
          <w:rFonts w:hint="eastAsia" w:asciiTheme="minorEastAsia" w:hAnsiTheme="minorEastAsia" w:eastAsiaTheme="minorEastAsia"/>
          <w:kern w:val="0"/>
          <w:sz w:val="24"/>
          <w:lang w:val="zh-CN"/>
        </w:rPr>
        <w:t>有要求盖章或签字的地方，必须加盖投标人的公章以及法定代表人或全权代表盖章或签字。</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kern w:val="0"/>
          <w:sz w:val="24"/>
          <w:lang w:val="zh-CN"/>
        </w:rPr>
        <w:t>（</w:t>
      </w:r>
      <w:r>
        <w:rPr>
          <w:rFonts w:hint="eastAsia" w:asciiTheme="minorEastAsia" w:hAnsiTheme="minorEastAsia"/>
          <w:kern w:val="0"/>
          <w:sz w:val="24"/>
        </w:rPr>
        <w:t>3</w:t>
      </w:r>
      <w:r>
        <w:rPr>
          <w:rFonts w:hint="eastAsia" w:asciiTheme="minorEastAsia" w:hAnsiTheme="minorEastAsia"/>
          <w:kern w:val="0"/>
          <w:sz w:val="24"/>
          <w:lang w:val="zh-CN"/>
        </w:rPr>
        <w:t>）</w:t>
      </w:r>
      <w:r>
        <w:rPr>
          <w:rFonts w:asciiTheme="minorEastAsia" w:hAnsiTheme="minorEastAsia" w:eastAsiaTheme="minorEastAsia"/>
          <w:sz w:val="24"/>
        </w:rPr>
        <w:t>投标文件以及投标人与</w:t>
      </w:r>
      <w:r>
        <w:rPr>
          <w:rFonts w:hint="eastAsia" w:asciiTheme="minorEastAsia" w:hAnsiTheme="minorEastAsia" w:eastAsiaTheme="minorEastAsia"/>
          <w:sz w:val="24"/>
        </w:rPr>
        <w:t>采购组织机构</w:t>
      </w:r>
      <w:r>
        <w:rPr>
          <w:rFonts w:asciiTheme="minorEastAsia" w:hAnsiTheme="minorEastAsia" w:eastAsiaTheme="minorEastAsia"/>
          <w:sz w:val="24"/>
        </w:rPr>
        <w:t>就有关投标事宜的所有来往函电，均应以中文汉语书写。除</w:t>
      </w:r>
      <w:r>
        <w:rPr>
          <w:rFonts w:hint="eastAsia" w:asciiTheme="minorEastAsia" w:hAnsiTheme="minorEastAsia" w:eastAsiaTheme="minorEastAsia"/>
          <w:sz w:val="24"/>
        </w:rPr>
        <w:t>签字</w:t>
      </w:r>
      <w:r>
        <w:rPr>
          <w:rFonts w:asciiTheme="minorEastAsia" w:hAnsiTheme="minorEastAsia" w:eastAsiaTheme="minorEastAsia"/>
          <w:sz w:val="24"/>
        </w:rPr>
        <w:t>、盖章、专用名称等特殊情形外，以中文汉语以外的文字表述的投标文件视同未提供。</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sz w:val="24"/>
        </w:rPr>
        <w:t>（4）</w:t>
      </w:r>
      <w:r>
        <w:rPr>
          <w:rFonts w:asciiTheme="minorEastAsia" w:hAnsiTheme="minorEastAsia" w:eastAsiaTheme="minorEastAsia"/>
          <w:sz w:val="24"/>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sz w:val="24"/>
        </w:rPr>
      </w:pPr>
      <w:r>
        <w:rPr>
          <w:rFonts w:hint="eastAsia" w:asciiTheme="minorEastAsia" w:hAnsiTheme="minorEastAsia"/>
          <w:sz w:val="24"/>
        </w:rPr>
        <w:t>（5）</w:t>
      </w:r>
      <w:r>
        <w:rPr>
          <w:rFonts w:asciiTheme="minorEastAsia" w:hAnsiTheme="minorEastAsia" w:eastAsiaTheme="minorEastAsia"/>
          <w:sz w:val="24"/>
        </w:rPr>
        <w:t>若投标人不按招标文件的要求提供资格审查材料，其风险由投标人自行承担。</w:t>
      </w:r>
    </w:p>
    <w:p>
      <w:pPr>
        <w:autoSpaceDE w:val="0"/>
        <w:autoSpaceDN w:val="0"/>
        <w:adjustRightInd w:val="0"/>
        <w:spacing w:line="360" w:lineRule="auto"/>
        <w:ind w:firstLine="480"/>
        <w:rPr>
          <w:rFonts w:asciiTheme="minorEastAsia" w:hAnsiTheme="minorEastAsia" w:eastAsiaTheme="minorEastAsia"/>
          <w:sz w:val="24"/>
        </w:rPr>
      </w:pPr>
      <w:r>
        <w:rPr>
          <w:rFonts w:hint="eastAsia" w:asciiTheme="minorEastAsia" w:hAnsiTheme="minorEastAsia"/>
          <w:kern w:val="0"/>
          <w:sz w:val="24"/>
        </w:rPr>
        <w:t>（6）</w:t>
      </w:r>
      <w:r>
        <w:rPr>
          <w:rFonts w:hint="eastAsia" w:asciiTheme="minorEastAsia" w:hAnsiTheme="minorEastAsia" w:eastAsiaTheme="minorEastAsia"/>
          <w:sz w:val="24"/>
        </w:rPr>
        <w:t>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80"/>
        <w:rPr>
          <w:rFonts w:asciiTheme="minorEastAsia" w:hAnsiTheme="minorEastAsia"/>
          <w:b/>
          <w:bCs/>
          <w:sz w:val="24"/>
        </w:rPr>
      </w:pPr>
      <w:r>
        <w:rPr>
          <w:rFonts w:hint="eastAsia" w:asciiTheme="minorEastAsia" w:hAnsiTheme="minorEastAsia"/>
          <w:b/>
          <w:bCs/>
          <w:sz w:val="24"/>
        </w:rPr>
        <w:t>2、投标文件的封装要求</w:t>
      </w:r>
    </w:p>
    <w:p>
      <w:pPr>
        <w:autoSpaceDE w:val="0"/>
        <w:autoSpaceDN w:val="0"/>
        <w:adjustRightInd w:val="0"/>
        <w:spacing w:line="360" w:lineRule="auto"/>
        <w:ind w:firstLine="475" w:firstLineChars="198"/>
        <w:rPr>
          <w:rFonts w:asciiTheme="minorEastAsia" w:hAnsiTheme="minorEastAsia"/>
          <w:sz w:val="24"/>
        </w:rPr>
      </w:pPr>
      <w:r>
        <w:rPr>
          <w:rFonts w:hint="eastAsia" w:asciiTheme="minorEastAsia" w:hAnsiTheme="minorEastAsia" w:eastAsiaTheme="minorEastAsia"/>
          <w:sz w:val="24"/>
        </w:rPr>
        <w:t>（1）投标文件份数：</w:t>
      </w:r>
      <w:r>
        <w:rPr>
          <w:rFonts w:hint="eastAsia" w:ascii="宋体" w:hAnsi="宋体"/>
          <w:bCs/>
          <w:sz w:val="24"/>
          <w:lang w:val="zh-CN"/>
        </w:rPr>
        <w:t>资格证明文件、商务与技术文件、报价文件必须分别编制并分开单独装订成册：</w:t>
      </w:r>
      <w:r>
        <w:rPr>
          <w:rFonts w:hint="eastAsia" w:ascii="宋体"/>
          <w:bCs/>
          <w:sz w:val="24"/>
          <w:lang w:val="zh-CN"/>
        </w:rPr>
        <w:t>资格证明文件共2</w:t>
      </w:r>
      <w:r>
        <w:rPr>
          <w:rFonts w:hint="eastAsia" w:ascii="宋体" w:hAnsi="宋体"/>
          <w:bCs/>
          <w:sz w:val="24"/>
          <w:lang w:val="zh-CN"/>
        </w:rPr>
        <w:t>份</w:t>
      </w:r>
      <w:r>
        <w:rPr>
          <w:rFonts w:hint="eastAsia" w:ascii="宋体"/>
          <w:bCs/>
          <w:sz w:val="24"/>
          <w:lang w:val="zh-CN"/>
        </w:rPr>
        <w:t>（正本副本，封装成一袋）</w:t>
      </w:r>
      <w:r>
        <w:rPr>
          <w:rFonts w:hint="eastAsia" w:ascii="宋体" w:hAnsi="宋体"/>
          <w:bCs/>
          <w:sz w:val="24"/>
          <w:lang w:val="zh-CN"/>
        </w:rPr>
        <w:t>，商务与技术文件共5份</w:t>
      </w:r>
      <w:r>
        <w:rPr>
          <w:rFonts w:hint="eastAsia" w:ascii="宋体"/>
          <w:bCs/>
          <w:sz w:val="24"/>
          <w:lang w:val="zh-CN"/>
        </w:rPr>
        <w:t>（正本副本，封装成一袋）</w:t>
      </w:r>
      <w:r>
        <w:rPr>
          <w:rFonts w:hint="eastAsia" w:ascii="宋体" w:hAnsi="宋体"/>
          <w:bCs/>
          <w:sz w:val="24"/>
          <w:lang w:val="zh-CN"/>
        </w:rPr>
        <w:t>，报价文件共5份</w:t>
      </w:r>
      <w:r>
        <w:rPr>
          <w:rFonts w:hint="eastAsia" w:ascii="宋体"/>
          <w:bCs/>
          <w:sz w:val="24"/>
          <w:lang w:val="zh-CN"/>
        </w:rPr>
        <w:t>（正本副本，封装成一袋）</w:t>
      </w:r>
      <w:r>
        <w:rPr>
          <w:rFonts w:hint="eastAsia" w:ascii="宋体" w:hAnsi="宋体"/>
          <w:bCs/>
          <w:sz w:val="24"/>
          <w:lang w:val="zh-CN"/>
        </w:rPr>
        <w:t>。投标文件的正本封面必须注明“正本”字样，副本可以采用正本的复印件。</w:t>
      </w:r>
      <w:r>
        <w:rPr>
          <w:rFonts w:hint="eastAsia" w:asciiTheme="minorEastAsia" w:hAnsiTheme="minorEastAsia" w:eastAsiaTheme="minorEastAsia"/>
          <w:sz w:val="24"/>
        </w:rPr>
        <w:t>除报价文件外其余一律不准出现数字报价。</w:t>
      </w:r>
    </w:p>
    <w:p>
      <w:pPr>
        <w:autoSpaceDE w:val="0"/>
        <w:autoSpaceDN w:val="0"/>
        <w:adjustRightIn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（2）所有投标资料按投标文件的组成所列内容及顺序装订成册，</w:t>
      </w:r>
      <w:r>
        <w:rPr>
          <w:rFonts w:hint="eastAsia" w:asciiTheme="minorEastAsia" w:hAnsiTheme="minorEastAsia" w:eastAsiaTheme="minorEastAsia"/>
          <w:sz w:val="24"/>
          <w:lang w:val="zh-CN"/>
        </w:rPr>
        <w:t>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（3）请在密封袋的封口处应有投标单位公章或投标全权代表签字。封皮上写明项目编号、标段、招标项目名称、投标人名称，并注明“投标文件名称（资格证明文件、</w:t>
      </w:r>
      <w:r>
        <w:rPr>
          <w:rFonts w:hint="eastAsia" w:ascii="宋体" w:hAnsi="宋体"/>
          <w:bCs/>
          <w:sz w:val="24"/>
          <w:lang w:val="zh-CN"/>
        </w:rPr>
        <w:t>商务与技术文件</w:t>
      </w:r>
      <w:r>
        <w:rPr>
          <w:rFonts w:hint="eastAsia" w:asciiTheme="minorEastAsia" w:hAnsiTheme="minorEastAsia" w:eastAsiaTheme="minorEastAsia"/>
          <w:kern w:val="0"/>
          <w:sz w:val="24"/>
        </w:rPr>
        <w:t>和报价文件）”、“开标时启封”字样，未按上述要求密封及加写标记，采购组织机构对投标文件的误投和提前启封不负责任。</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（4）项目如分标段，各标段投标文件必须分开编制，并按上述份数要求单独密封包装。</w:t>
      </w:r>
    </w:p>
    <w:p>
      <w:pPr>
        <w:autoSpaceDE w:val="0"/>
        <w:autoSpaceDN w:val="0"/>
        <w:adjustRightInd w:val="0"/>
        <w:spacing w:line="360" w:lineRule="auto"/>
        <w:ind w:firstLine="480" w:firstLineChars="200"/>
        <w:rPr>
          <w:rFonts w:asciiTheme="minorEastAsia" w:hAnsiTheme="minorEastAsia" w:eastAsiaTheme="minorEastAsia"/>
          <w:kern w:val="0"/>
          <w:sz w:val="24"/>
          <w:lang w:val="zh-CN"/>
        </w:rPr>
      </w:pPr>
      <w:r>
        <w:rPr>
          <w:rFonts w:hint="eastAsia" w:asciiTheme="minorEastAsia" w:hAnsiTheme="minorEastAsia" w:eastAsiaTheme="minorEastAsia"/>
          <w:kern w:val="0"/>
          <w:sz w:val="24"/>
        </w:rPr>
        <w:t>（5）</w:t>
      </w:r>
      <w:r>
        <w:rPr>
          <w:rFonts w:hint="eastAsia" w:asciiTheme="minorEastAsia" w:hAnsiTheme="minorEastAsia" w:eastAsiaTheme="minorEastAsia"/>
          <w:kern w:val="0"/>
          <w:sz w:val="24"/>
          <w:lang w:val="zh-CN"/>
        </w:rPr>
        <w:t>因密封不严、标记不明而造成失密、拒收、过早启封等情况，采购组织机构概不负责。</w:t>
      </w:r>
    </w:p>
    <w:p>
      <w:pPr>
        <w:autoSpaceDE w:val="0"/>
        <w:autoSpaceDN w:val="0"/>
        <w:adjustRightIn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kern w:val="0"/>
          <w:sz w:val="24"/>
        </w:rPr>
        <w:t>3、</w:t>
      </w:r>
      <w:r>
        <w:rPr>
          <w:rFonts w:hint="eastAsia" w:asciiTheme="minorEastAsia" w:hAnsiTheme="minorEastAsia"/>
          <w:sz w:val="24"/>
        </w:rPr>
        <w:t>投标文件的递交要求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（1）投标文件必须在规定时间前派人送达指定的投标地点。投标文件在截止时间后提交，采购组织机构将拒绝接收。</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4、投标文件的补充、修改和撤回。</w:t>
      </w:r>
    </w:p>
    <w:p>
      <w:pPr>
        <w:tabs>
          <w:tab w:val="left" w:pos="960"/>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（1）投标人如需对上交的投标文件进行补充、修改或撤回的，必须在投标</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Theme="minorEastAsia" w:hAnsiTheme="minorEastAsia" w:eastAsiaTheme="minorEastAsia"/>
          <w:kern w:val="0"/>
          <w:sz w:val="24"/>
        </w:rPr>
      </w:pPr>
      <w:r>
        <w:rPr>
          <w:rFonts w:hint="eastAsia" w:asciiTheme="minorEastAsia" w:hAnsiTheme="minorEastAsia" w:eastAsiaTheme="minorEastAsia"/>
          <w:kern w:val="0"/>
          <w:sz w:val="24"/>
        </w:rPr>
        <w:t>截止时间</w:t>
      </w:r>
      <w:r>
        <w:rPr>
          <w:rFonts w:hint="eastAsia" w:ascii="宋体"/>
          <w:kern w:val="0"/>
          <w:sz w:val="24"/>
        </w:rPr>
        <w:t>以前将书面的修改文件或撤消通知送达采购组织机构。</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（2）投标修改文件必须密封，在密封袋上写明项目编号、标段、招标项目名称、投标人名称、并注明“修改文件”、“开标时启封”字样，其作为投标文件的组成部份。</w:t>
      </w:r>
    </w:p>
    <w:p>
      <w:pPr>
        <w:tabs>
          <w:tab w:val="left" w:pos="1898"/>
        </w:tabs>
        <w:autoSpaceDE w:val="0"/>
        <w:autoSpaceDN w:val="0"/>
        <w:adjustRightInd w:val="0"/>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6"/>
        <w:tabs>
          <w:tab w:val="left" w:pos="454"/>
          <w:tab w:val="left" w:pos="720"/>
          <w:tab w:val="left" w:pos="1200"/>
        </w:tabs>
        <w:snapToGrid w:val="0"/>
        <w:spacing w:line="360" w:lineRule="auto"/>
        <w:ind w:left="0" w:firstLine="480" w:firstLineChars="200"/>
        <w:rPr>
          <w:rFonts w:ascii="仿宋_GB2312" w:hAnsi="仿宋_GB2312" w:eastAsia="仿宋_GB2312" w:cs="仿宋_GB2312"/>
          <w:sz w:val="24"/>
          <w:lang w:val="en-GB"/>
        </w:rPr>
      </w:pPr>
      <w:r>
        <w:rPr>
          <w:rFonts w:hint="eastAsia" w:ascii="宋体" w:hAnsi="宋体"/>
          <w:sz w:val="24"/>
          <w:lang w:val="en-GB"/>
        </w:rPr>
        <w:t>自投标截止日起90天投标文件应保持有效。有效期不足的投标文件将被拒绝。</w:t>
      </w:r>
    </w:p>
    <w:p>
      <w:pPr>
        <w:pStyle w:val="6"/>
        <w:tabs>
          <w:tab w:val="left" w:pos="454"/>
          <w:tab w:val="left" w:pos="720"/>
          <w:tab w:val="left" w:pos="1200"/>
        </w:tabs>
        <w:snapToGrid w:val="0"/>
        <w:spacing w:line="360" w:lineRule="auto"/>
        <w:ind w:left="0" w:firstLine="480" w:firstLineChars="200"/>
        <w:rPr>
          <w:rFonts w:ascii="宋体" w:hAnsi="宋体"/>
          <w:sz w:val="24"/>
          <w:lang w:val="en-GB"/>
        </w:rPr>
      </w:pPr>
      <w:r>
        <w:rPr>
          <w:rFonts w:hint="eastAsia" w:ascii="宋体" w:hAnsi="宋体"/>
          <w:sz w:val="24"/>
          <w:lang w:val="en-GB"/>
        </w:rPr>
        <w:t>在特殊情况下，采购人可与投标人协商延长投标文件的有效期，这种要求和答复均以书面形式进行。</w:t>
      </w:r>
    </w:p>
    <w:p>
      <w:pPr>
        <w:pStyle w:val="6"/>
        <w:numPr>
          <w:ilvl w:val="0"/>
          <w:numId w:val="0"/>
        </w:numPr>
        <w:tabs>
          <w:tab w:val="left" w:pos="0"/>
          <w:tab w:val="left" w:pos="720"/>
          <w:tab w:val="left" w:pos="1200"/>
          <w:tab w:val="clear" w:pos="360"/>
        </w:tabs>
        <w:snapToGrid w:val="0"/>
        <w:spacing w:line="360" w:lineRule="auto"/>
        <w:ind w:firstLine="420" w:firstLineChars="175"/>
        <w:rPr>
          <w:rFonts w:asciiTheme="minorEastAsia" w:hAnsiTheme="minorEastAsia" w:eastAsiaTheme="minorEastAsia"/>
          <w:b/>
          <w:sz w:val="24"/>
        </w:rPr>
      </w:pPr>
      <w:r>
        <w:rPr>
          <w:rFonts w:hint="eastAsia" w:ascii="宋体" w:hAnsi="宋体"/>
          <w:sz w:val="24"/>
        </w:rPr>
        <w:t>3.</w:t>
      </w:r>
      <w:r>
        <w:rPr>
          <w:rFonts w:asciiTheme="minorEastAsia" w:hAnsiTheme="minorEastAsia" w:eastAsiaTheme="minorEastAsia"/>
          <w:sz w:val="24"/>
        </w:rPr>
        <w:t>中标人的投标文件自开标之日起至合同履行完毕均应保持有效。</w:t>
      </w:r>
    </w:p>
    <w:p>
      <w:pPr>
        <w:pStyle w:val="4"/>
      </w:pPr>
      <w:bookmarkStart w:id="34" w:name="_Toc19880420"/>
      <w:r>
        <w:rPr>
          <w:rFonts w:hint="eastAsia"/>
        </w:rPr>
        <w:t>四、投标保证金：</w:t>
      </w:r>
      <w:bookmarkEnd w:id="34"/>
    </w:p>
    <w:p>
      <w:pPr>
        <w:pStyle w:val="6"/>
        <w:numPr>
          <w:ilvl w:val="0"/>
          <w:numId w:val="0"/>
        </w:numPr>
        <w:tabs>
          <w:tab w:val="left" w:pos="0"/>
          <w:tab w:val="left" w:pos="720"/>
          <w:tab w:val="left" w:pos="1200"/>
          <w:tab w:val="clear" w:pos="360"/>
        </w:tabs>
        <w:snapToGrid w:val="0"/>
        <w:spacing w:line="360" w:lineRule="auto"/>
        <w:ind w:firstLine="420" w:firstLineChars="175"/>
        <w:rPr>
          <w:rFonts w:asciiTheme="minorEastAsia" w:hAnsiTheme="minorEastAsia" w:eastAsiaTheme="minorEastAsia"/>
          <w:sz w:val="24"/>
        </w:rPr>
      </w:pPr>
      <w:r>
        <w:rPr>
          <w:rFonts w:hint="eastAsia" w:asciiTheme="minorEastAsia" w:hAnsiTheme="minorEastAsia" w:eastAsiaTheme="minorEastAsia"/>
          <w:sz w:val="24"/>
        </w:rPr>
        <w:t>1、中标供应商的投标保证金在合同签订后五个工作日内凭合同无息退还。</w:t>
      </w:r>
    </w:p>
    <w:p>
      <w:pPr>
        <w:pStyle w:val="6"/>
        <w:numPr>
          <w:ilvl w:val="0"/>
          <w:numId w:val="0"/>
        </w:numPr>
        <w:tabs>
          <w:tab w:val="left" w:pos="0"/>
          <w:tab w:val="left" w:pos="720"/>
          <w:tab w:val="left" w:pos="1200"/>
          <w:tab w:val="clear" w:pos="360"/>
        </w:tabs>
        <w:snapToGrid w:val="0"/>
        <w:spacing w:line="360" w:lineRule="auto"/>
        <w:ind w:firstLine="420" w:firstLineChars="175"/>
        <w:rPr>
          <w:rFonts w:asciiTheme="minorEastAsia" w:hAnsiTheme="minorEastAsia" w:eastAsiaTheme="minorEastAsia"/>
          <w:sz w:val="24"/>
        </w:rPr>
      </w:pPr>
      <w:r>
        <w:rPr>
          <w:rFonts w:hint="eastAsia" w:asciiTheme="minorEastAsia" w:hAnsiTheme="minorEastAsia" w:eastAsiaTheme="minorEastAsia"/>
          <w:sz w:val="24"/>
        </w:rPr>
        <w:t>2、未中标供应商的投标保证金将在当日无息退还。</w:t>
      </w:r>
    </w:p>
    <w:p>
      <w:pPr>
        <w:pStyle w:val="6"/>
        <w:numPr>
          <w:ilvl w:val="0"/>
          <w:numId w:val="0"/>
        </w:numPr>
        <w:tabs>
          <w:tab w:val="left" w:pos="0"/>
          <w:tab w:val="left" w:pos="720"/>
          <w:tab w:val="left" w:pos="1200"/>
          <w:tab w:val="clear" w:pos="360"/>
        </w:tabs>
        <w:snapToGrid w:val="0"/>
        <w:spacing w:line="360" w:lineRule="auto"/>
        <w:ind w:firstLine="420" w:firstLineChars="175"/>
        <w:rPr>
          <w:rFonts w:asciiTheme="minorEastAsia" w:hAnsiTheme="minorEastAsia" w:eastAsiaTheme="minorEastAsia"/>
          <w:sz w:val="24"/>
        </w:rPr>
      </w:pPr>
      <w:r>
        <w:rPr>
          <w:rFonts w:hint="eastAsia" w:asciiTheme="minorEastAsia" w:hAnsiTheme="minorEastAsia" w:eastAsiaTheme="minorEastAsia"/>
          <w:sz w:val="24"/>
        </w:rPr>
        <w:t>3、如发生以下情况之一时，投标保证金不予退还：</w:t>
      </w:r>
    </w:p>
    <w:p>
      <w:pPr>
        <w:pStyle w:val="6"/>
        <w:numPr>
          <w:ilvl w:val="0"/>
          <w:numId w:val="0"/>
        </w:numPr>
        <w:tabs>
          <w:tab w:val="left" w:pos="0"/>
          <w:tab w:val="left" w:pos="720"/>
          <w:tab w:val="left" w:pos="1200"/>
          <w:tab w:val="clear" w:pos="360"/>
        </w:tabs>
        <w:snapToGrid w:val="0"/>
        <w:spacing w:line="360" w:lineRule="auto"/>
        <w:ind w:firstLine="720" w:firstLineChars="300"/>
        <w:rPr>
          <w:rFonts w:asciiTheme="minorEastAsia" w:hAnsiTheme="minorEastAsia" w:eastAsiaTheme="minorEastAsia"/>
          <w:sz w:val="24"/>
        </w:rPr>
      </w:pPr>
      <w:r>
        <w:rPr>
          <w:rFonts w:asciiTheme="minorEastAsia" w:hAnsiTheme="minorEastAsia" w:eastAsiaTheme="minorEastAsia"/>
          <w:sz w:val="24"/>
        </w:rPr>
        <w:t xml:space="preserve">3.1 </w:t>
      </w:r>
      <w:r>
        <w:rPr>
          <w:rFonts w:hint="eastAsia" w:asciiTheme="minorEastAsia" w:hAnsiTheme="minorEastAsia" w:eastAsiaTheme="minorEastAsia"/>
          <w:sz w:val="24"/>
        </w:rPr>
        <w:t>投标人在投标截止时间后，投标有效期内撤回投标文件的；</w:t>
      </w:r>
    </w:p>
    <w:p>
      <w:pPr>
        <w:pStyle w:val="6"/>
        <w:numPr>
          <w:ilvl w:val="0"/>
          <w:numId w:val="0"/>
        </w:numPr>
        <w:tabs>
          <w:tab w:val="left" w:pos="0"/>
          <w:tab w:val="left" w:pos="720"/>
          <w:tab w:val="left" w:pos="1200"/>
          <w:tab w:val="clear" w:pos="360"/>
        </w:tabs>
        <w:snapToGrid w:val="0"/>
        <w:spacing w:line="360" w:lineRule="auto"/>
        <w:ind w:firstLine="660" w:firstLineChars="275"/>
        <w:rPr>
          <w:rFonts w:asciiTheme="minorEastAsia" w:hAnsiTheme="minorEastAsia" w:eastAsiaTheme="minorEastAsia"/>
          <w:sz w:val="24"/>
        </w:rPr>
      </w:pPr>
      <w:r>
        <w:rPr>
          <w:rFonts w:asciiTheme="minorEastAsia" w:hAnsiTheme="minorEastAsia" w:eastAsiaTheme="minorEastAsia"/>
          <w:sz w:val="24"/>
        </w:rPr>
        <w:t xml:space="preserve">3.2 </w:t>
      </w:r>
      <w:r>
        <w:rPr>
          <w:rFonts w:hint="eastAsia" w:asciiTheme="minorEastAsia" w:hAnsiTheme="minorEastAsia" w:eastAsiaTheme="minorEastAsia"/>
          <w:sz w:val="24"/>
        </w:rPr>
        <w:t>投标人无故放弃投标的；</w:t>
      </w:r>
    </w:p>
    <w:p>
      <w:pPr>
        <w:pStyle w:val="6"/>
        <w:numPr>
          <w:ilvl w:val="0"/>
          <w:numId w:val="0"/>
        </w:numPr>
        <w:tabs>
          <w:tab w:val="left" w:pos="0"/>
          <w:tab w:val="left" w:pos="720"/>
          <w:tab w:val="left" w:pos="1200"/>
          <w:tab w:val="clear" w:pos="360"/>
        </w:tabs>
        <w:snapToGrid w:val="0"/>
        <w:spacing w:line="360" w:lineRule="auto"/>
        <w:ind w:firstLine="660" w:firstLineChars="275"/>
        <w:rPr>
          <w:rFonts w:asciiTheme="minorEastAsia" w:hAnsiTheme="minorEastAsia" w:eastAsiaTheme="minorEastAsia"/>
          <w:sz w:val="24"/>
        </w:rPr>
      </w:pPr>
      <w:r>
        <w:rPr>
          <w:rFonts w:asciiTheme="minorEastAsia" w:hAnsiTheme="minorEastAsia" w:eastAsiaTheme="minorEastAsia"/>
          <w:sz w:val="24"/>
        </w:rPr>
        <w:t xml:space="preserve">3.3 </w:t>
      </w:r>
      <w:r>
        <w:rPr>
          <w:rFonts w:hint="eastAsia" w:asciiTheme="minorEastAsia" w:hAnsiTheme="minorEastAsia" w:eastAsiaTheme="minorEastAsia"/>
          <w:sz w:val="24"/>
        </w:rPr>
        <w:t>投标人放弃投标且不能在投标截止时间前提供书面材料或者提供的书面说明材料经监管部门认定为不合理的；</w:t>
      </w:r>
    </w:p>
    <w:p>
      <w:pPr>
        <w:pStyle w:val="6"/>
        <w:numPr>
          <w:ilvl w:val="0"/>
          <w:numId w:val="0"/>
        </w:numPr>
        <w:tabs>
          <w:tab w:val="left" w:pos="0"/>
          <w:tab w:val="left" w:pos="720"/>
          <w:tab w:val="left" w:pos="1200"/>
          <w:tab w:val="clear" w:pos="360"/>
        </w:tabs>
        <w:snapToGrid w:val="0"/>
        <w:spacing w:line="360" w:lineRule="auto"/>
        <w:ind w:firstLine="660" w:firstLineChars="275"/>
        <w:rPr>
          <w:rFonts w:asciiTheme="minorEastAsia" w:hAnsiTheme="minorEastAsia" w:eastAsiaTheme="minorEastAsia"/>
          <w:sz w:val="24"/>
        </w:rPr>
      </w:pPr>
      <w:r>
        <w:rPr>
          <w:rFonts w:asciiTheme="minorEastAsia" w:hAnsiTheme="minorEastAsia" w:eastAsiaTheme="minorEastAsia"/>
          <w:sz w:val="24"/>
        </w:rPr>
        <w:t xml:space="preserve">3.4 </w:t>
      </w:r>
      <w:r>
        <w:rPr>
          <w:rFonts w:hint="eastAsia" w:asciiTheme="minorEastAsia" w:hAnsiTheme="minorEastAsia" w:eastAsiaTheme="minorEastAsia"/>
          <w:sz w:val="24"/>
        </w:rPr>
        <w:t>投标人在投标过程中弄虚作假，提供虚假材料的；</w:t>
      </w:r>
    </w:p>
    <w:p>
      <w:pPr>
        <w:pStyle w:val="6"/>
        <w:numPr>
          <w:ilvl w:val="0"/>
          <w:numId w:val="0"/>
        </w:numPr>
        <w:tabs>
          <w:tab w:val="left" w:pos="0"/>
          <w:tab w:val="left" w:pos="720"/>
          <w:tab w:val="left" w:pos="1200"/>
          <w:tab w:val="clear" w:pos="360"/>
        </w:tabs>
        <w:snapToGrid w:val="0"/>
        <w:spacing w:line="360" w:lineRule="auto"/>
        <w:ind w:firstLine="660" w:firstLineChars="275"/>
        <w:rPr>
          <w:rFonts w:asciiTheme="minorEastAsia" w:hAnsiTheme="minorEastAsia" w:eastAsiaTheme="minorEastAsia"/>
          <w:sz w:val="24"/>
        </w:rPr>
      </w:pPr>
      <w:r>
        <w:rPr>
          <w:rFonts w:asciiTheme="minorEastAsia" w:hAnsiTheme="minorEastAsia" w:eastAsiaTheme="minorEastAsia"/>
          <w:sz w:val="24"/>
        </w:rPr>
        <w:t xml:space="preserve">3.5 </w:t>
      </w:r>
      <w:r>
        <w:rPr>
          <w:rFonts w:hint="eastAsia" w:asciiTheme="minorEastAsia" w:hAnsiTheme="minorEastAsia" w:eastAsiaTheme="minorEastAsia"/>
          <w:sz w:val="24"/>
        </w:rPr>
        <w:t>投标人有串标、通标等违规违法行为的；</w:t>
      </w:r>
    </w:p>
    <w:p>
      <w:pPr>
        <w:pStyle w:val="6"/>
        <w:numPr>
          <w:ilvl w:val="0"/>
          <w:numId w:val="0"/>
        </w:numPr>
        <w:tabs>
          <w:tab w:val="left" w:pos="0"/>
          <w:tab w:val="left" w:pos="720"/>
          <w:tab w:val="left" w:pos="1200"/>
          <w:tab w:val="clear" w:pos="360"/>
        </w:tabs>
        <w:snapToGrid w:val="0"/>
        <w:spacing w:line="360" w:lineRule="auto"/>
        <w:ind w:firstLine="660" w:firstLineChars="275"/>
        <w:rPr>
          <w:rFonts w:asciiTheme="minorEastAsia" w:hAnsiTheme="minorEastAsia" w:eastAsiaTheme="minorEastAsia"/>
          <w:sz w:val="24"/>
        </w:rPr>
      </w:pPr>
      <w:r>
        <w:rPr>
          <w:rFonts w:asciiTheme="minorEastAsia" w:hAnsiTheme="minorEastAsia" w:eastAsiaTheme="minorEastAsia"/>
          <w:sz w:val="24"/>
        </w:rPr>
        <w:t xml:space="preserve">3.6 </w:t>
      </w:r>
      <w:r>
        <w:rPr>
          <w:rFonts w:hint="eastAsia" w:asciiTheme="minorEastAsia" w:hAnsiTheme="minorEastAsia" w:eastAsiaTheme="minorEastAsia"/>
          <w:sz w:val="24"/>
        </w:rPr>
        <w:t>投标人严重扰乱招标投标秩序的；</w:t>
      </w:r>
    </w:p>
    <w:p>
      <w:pPr>
        <w:pStyle w:val="6"/>
        <w:numPr>
          <w:ilvl w:val="0"/>
          <w:numId w:val="0"/>
        </w:numPr>
        <w:tabs>
          <w:tab w:val="left" w:pos="0"/>
          <w:tab w:val="left" w:pos="720"/>
          <w:tab w:val="left" w:pos="1200"/>
          <w:tab w:val="clear" w:pos="360"/>
        </w:tabs>
        <w:snapToGrid w:val="0"/>
        <w:spacing w:line="360" w:lineRule="auto"/>
        <w:ind w:firstLine="660" w:firstLineChars="275"/>
        <w:rPr>
          <w:rFonts w:asciiTheme="minorEastAsia" w:hAnsiTheme="minorEastAsia" w:eastAsiaTheme="minorEastAsia"/>
          <w:sz w:val="24"/>
        </w:rPr>
      </w:pPr>
      <w:r>
        <w:rPr>
          <w:rFonts w:asciiTheme="minorEastAsia" w:hAnsiTheme="minorEastAsia" w:eastAsiaTheme="minorEastAsia"/>
          <w:sz w:val="24"/>
        </w:rPr>
        <w:t xml:space="preserve">3.7 </w:t>
      </w:r>
      <w:r>
        <w:rPr>
          <w:rFonts w:hint="eastAsia" w:asciiTheme="minorEastAsia" w:hAnsiTheme="minorEastAsia" w:eastAsiaTheme="minorEastAsia"/>
          <w:sz w:val="24"/>
        </w:rPr>
        <w:t>中标供应商未按规定提交履约保证金的；</w:t>
      </w:r>
    </w:p>
    <w:p>
      <w:pPr>
        <w:pStyle w:val="6"/>
        <w:numPr>
          <w:ilvl w:val="0"/>
          <w:numId w:val="0"/>
        </w:numPr>
        <w:tabs>
          <w:tab w:val="left" w:pos="0"/>
          <w:tab w:val="left" w:pos="720"/>
          <w:tab w:val="left" w:pos="1200"/>
          <w:tab w:val="clear" w:pos="360"/>
        </w:tabs>
        <w:snapToGrid w:val="0"/>
        <w:spacing w:line="360" w:lineRule="auto"/>
        <w:ind w:firstLine="660" w:firstLineChars="275"/>
        <w:rPr>
          <w:rFonts w:asciiTheme="minorEastAsia" w:hAnsiTheme="minorEastAsia" w:eastAsiaTheme="minorEastAsia"/>
          <w:sz w:val="24"/>
        </w:rPr>
      </w:pPr>
      <w:r>
        <w:rPr>
          <w:rFonts w:asciiTheme="minorEastAsia" w:hAnsiTheme="minorEastAsia" w:eastAsiaTheme="minorEastAsia"/>
          <w:sz w:val="24"/>
        </w:rPr>
        <w:t xml:space="preserve">3.8 </w:t>
      </w:r>
      <w:r>
        <w:rPr>
          <w:rFonts w:hint="eastAsia" w:asciiTheme="minorEastAsia" w:hAnsiTheme="minorEastAsia" w:eastAsiaTheme="minorEastAsia"/>
          <w:sz w:val="24"/>
        </w:rPr>
        <w:t>中标供应商未按规定时间、地点与采购人签订合同的；</w:t>
      </w:r>
    </w:p>
    <w:p>
      <w:pPr>
        <w:pStyle w:val="6"/>
        <w:numPr>
          <w:ilvl w:val="0"/>
          <w:numId w:val="0"/>
        </w:numPr>
        <w:tabs>
          <w:tab w:val="left" w:pos="0"/>
          <w:tab w:val="left" w:pos="720"/>
          <w:tab w:val="left" w:pos="1200"/>
          <w:tab w:val="clear" w:pos="360"/>
        </w:tabs>
        <w:snapToGrid w:val="0"/>
        <w:spacing w:line="360" w:lineRule="auto"/>
        <w:ind w:firstLine="660" w:firstLineChars="275"/>
      </w:pPr>
      <w:r>
        <w:rPr>
          <w:rFonts w:asciiTheme="minorEastAsia" w:hAnsiTheme="minorEastAsia" w:eastAsiaTheme="minorEastAsia"/>
          <w:sz w:val="24"/>
        </w:rPr>
        <w:t xml:space="preserve">3.9 </w:t>
      </w:r>
      <w:r>
        <w:rPr>
          <w:rFonts w:hint="eastAsia" w:asciiTheme="minorEastAsia" w:hAnsiTheme="minorEastAsia" w:eastAsiaTheme="minorEastAsia"/>
          <w:sz w:val="24"/>
        </w:rPr>
        <w:t>其他违反法律法规规定行为的。</w:t>
      </w:r>
    </w:p>
    <w:p>
      <w:pPr>
        <w:pStyle w:val="4"/>
      </w:pPr>
      <w:bookmarkStart w:id="35" w:name="_Toc19880421"/>
      <w:r>
        <w:rPr>
          <w:rFonts w:hint="eastAsia"/>
        </w:rPr>
        <w:t>五、开标</w:t>
      </w:r>
      <w:bookmarkEnd w:id="35"/>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（一）开标事项</w:t>
      </w:r>
    </w:p>
    <w:p>
      <w:pPr>
        <w:autoSpaceDE w:val="0"/>
        <w:autoSpaceDN w:val="0"/>
        <w:adjustRightIn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kern w:val="0"/>
          <w:sz w:val="24"/>
        </w:rPr>
        <w:t>采购组织机构在“招标公告”规定的时间和地点公开开标，投标人的法定代表人或其授权代表应参加开标会并签到。</w:t>
      </w:r>
      <w:r>
        <w:rPr>
          <w:rFonts w:asciiTheme="minorEastAsia" w:hAnsiTheme="minorEastAsia" w:eastAsiaTheme="minorEastAsia"/>
          <w:bCs/>
          <w:sz w:val="24"/>
        </w:rPr>
        <w:t>投标人的法定代表人或其授权代表未按时签到的，视同放弃开标监督权利、认可开标结果。</w:t>
      </w:r>
      <w:r>
        <w:rPr>
          <w:rFonts w:hint="eastAsia" w:asciiTheme="minorEastAsia" w:hAnsiTheme="minorEastAsia" w:eastAsiaTheme="minorEastAsia"/>
          <w:bCs/>
          <w:sz w:val="24"/>
        </w:rPr>
        <w:t>采购组织机构</w:t>
      </w:r>
      <w:r>
        <w:rPr>
          <w:rFonts w:asciiTheme="minorEastAsia" w:hAnsiTheme="minorEastAsia" w:eastAsiaTheme="minorEastAsia"/>
          <w:bCs/>
          <w:sz w:val="24"/>
        </w:rPr>
        <w:t>工作人员接收投标文件并登记，并由供应商代表对递交记录情况进行</w:t>
      </w:r>
      <w:r>
        <w:rPr>
          <w:rFonts w:hint="eastAsia" w:asciiTheme="minorEastAsia" w:hAnsiTheme="minorEastAsia" w:eastAsiaTheme="minorEastAsia"/>
          <w:bCs/>
          <w:sz w:val="24"/>
        </w:rPr>
        <w:t>签字</w:t>
      </w:r>
      <w:r>
        <w:rPr>
          <w:rFonts w:asciiTheme="minorEastAsia" w:hAnsiTheme="minorEastAsia" w:eastAsiaTheme="minorEastAsia"/>
          <w:bCs/>
          <w:sz w:val="24"/>
        </w:rPr>
        <w:t>确认。</w:t>
      </w:r>
      <w:r>
        <w:rPr>
          <w:rFonts w:hint="eastAsia" w:asciiTheme="minorEastAsia" w:hAnsiTheme="minorEastAsia" w:eastAsiaTheme="minorEastAsia"/>
          <w:bCs/>
          <w:sz w:val="24"/>
        </w:rPr>
        <w:t>评标委员会成员不得参加开标活动。</w:t>
      </w:r>
      <w:r>
        <w:rPr>
          <w:rFonts w:hint="eastAsia" w:asciiTheme="minorEastAsia" w:hAnsiTheme="minorEastAsia" w:eastAsiaTheme="minorEastAsia"/>
          <w:kern w:val="0"/>
          <w:sz w:val="24"/>
        </w:rPr>
        <w:t>（本次招标</w:t>
      </w:r>
      <w:r>
        <w:rPr>
          <w:rFonts w:cs="Arial" w:asciiTheme="minorEastAsia" w:hAnsiTheme="minorEastAsia" w:eastAsiaTheme="minorEastAsia"/>
          <w:sz w:val="24"/>
        </w:rPr>
        <w:t>采用先评审商务资格</w:t>
      </w:r>
      <w:r>
        <w:rPr>
          <w:rFonts w:hint="eastAsia" w:cs="Arial" w:asciiTheme="minorEastAsia" w:hAnsiTheme="minorEastAsia" w:eastAsiaTheme="minorEastAsia"/>
          <w:sz w:val="24"/>
        </w:rPr>
        <w:t>和</w:t>
      </w:r>
      <w:r>
        <w:rPr>
          <w:rFonts w:cs="Arial" w:asciiTheme="minorEastAsia" w:hAnsiTheme="minorEastAsia" w:eastAsiaTheme="minorEastAsia"/>
          <w:sz w:val="24"/>
        </w:rPr>
        <w:t>技术服务方案</w:t>
      </w:r>
      <w:r>
        <w:rPr>
          <w:rFonts w:hint="eastAsia" w:cs="Arial" w:asciiTheme="minorEastAsia" w:hAnsiTheme="minorEastAsia" w:eastAsiaTheme="minorEastAsia"/>
          <w:sz w:val="24"/>
        </w:rPr>
        <w:t>，</w:t>
      </w:r>
      <w:r>
        <w:rPr>
          <w:rFonts w:cs="Arial" w:asciiTheme="minorEastAsia" w:hAnsiTheme="minorEastAsia" w:eastAsiaTheme="minorEastAsia"/>
          <w:sz w:val="24"/>
        </w:rPr>
        <w:t>后公开并评审商务报价的办法</w:t>
      </w:r>
      <w:r>
        <w:rPr>
          <w:rFonts w:hint="eastAsia" w:asciiTheme="minorEastAsia" w:hAnsiTheme="minorEastAsia" w:eastAsiaTheme="minorEastAsia"/>
          <w:kern w:val="0"/>
          <w:sz w:val="24"/>
        </w:rPr>
        <w:t>实施）。</w:t>
      </w:r>
    </w:p>
    <w:p>
      <w:pPr>
        <w:autoSpaceDE w:val="0"/>
        <w:autoSpaceDN w:val="0"/>
        <w:adjustRightInd w:val="0"/>
        <w:spacing w:line="360" w:lineRule="auto"/>
        <w:ind w:firstLine="480" w:firstLineChars="200"/>
        <w:rPr>
          <w:rFonts w:asciiTheme="minorEastAsia" w:hAnsiTheme="minorEastAsia" w:eastAsiaTheme="minorEastAsia"/>
          <w:bCs/>
          <w:sz w:val="24"/>
        </w:rPr>
      </w:pPr>
      <w:r>
        <w:rPr>
          <w:rFonts w:asciiTheme="minorEastAsia" w:hAnsiTheme="minorEastAsia" w:eastAsiaTheme="minorEastAsia"/>
          <w:bCs/>
          <w:sz w:val="24"/>
        </w:rPr>
        <w:t>（二） 开</w:t>
      </w:r>
      <w:r>
        <w:rPr>
          <w:rFonts w:hint="eastAsia" w:asciiTheme="minorEastAsia" w:hAnsiTheme="minorEastAsia" w:eastAsiaTheme="minorEastAsia"/>
          <w:bCs/>
          <w:sz w:val="24"/>
        </w:rPr>
        <w:t>标</w:t>
      </w:r>
      <w:r>
        <w:rPr>
          <w:rFonts w:asciiTheme="minorEastAsia" w:hAnsiTheme="minorEastAsia" w:eastAsiaTheme="minorEastAsia"/>
          <w:bCs/>
          <w:sz w:val="24"/>
        </w:rPr>
        <w:t>程序：</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1、开标会由招标项目负责人主持，主持人宣布开标会议开始；</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2、主持人介绍参加开标会的人员名单； </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3、主持人宣布评标期间的有关事项，告知应当回避的情形,提请有关人员回避；</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4、投标人或其当场推荐的代表，检查投标文件密封的完整性；</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5、按投标文件递交的先后顺序当场拆封</w:t>
      </w:r>
      <w:r>
        <w:rPr>
          <w:rFonts w:hint="eastAsia" w:asciiTheme="minorEastAsia" w:hAnsiTheme="minorEastAsia" w:eastAsiaTheme="minorEastAsia"/>
          <w:kern w:val="0"/>
          <w:sz w:val="24"/>
        </w:rPr>
        <w:t>资格证明文件、</w:t>
      </w:r>
      <w:r>
        <w:rPr>
          <w:rFonts w:hint="eastAsia" w:hAnsi="宋体"/>
          <w:bCs/>
          <w:sz w:val="24"/>
          <w:lang w:val="zh-CN"/>
        </w:rPr>
        <w:t>商务与技术文件</w:t>
      </w:r>
      <w:r>
        <w:rPr>
          <w:rFonts w:hint="eastAsia" w:asciiTheme="minorEastAsia" w:hAnsiTheme="minorEastAsia" w:eastAsiaTheme="minorEastAsia"/>
          <w:sz w:val="24"/>
        </w:rPr>
        <w:t>后，进入资格审查及符合性审查环节；</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6、完成</w:t>
      </w:r>
      <w:r>
        <w:rPr>
          <w:rFonts w:ascii="Arial" w:hAnsi="Arial" w:cs="Arial"/>
          <w:sz w:val="24"/>
        </w:rPr>
        <w:t>综合比较与评价</w:t>
      </w:r>
      <w:r>
        <w:rPr>
          <w:rFonts w:hint="eastAsia" w:ascii="Arial" w:hAnsi="Arial" w:cs="Arial"/>
          <w:sz w:val="24"/>
        </w:rPr>
        <w:t>后，</w:t>
      </w:r>
      <w:r>
        <w:rPr>
          <w:rFonts w:hint="eastAsia" w:asciiTheme="minorEastAsia" w:hAnsiTheme="minorEastAsia" w:eastAsiaTheme="minorEastAsia"/>
          <w:sz w:val="24"/>
        </w:rPr>
        <w:t>由主持人按投标文件的先后顺序当场拆封报价文件，并现场宣读《开标一览表》中的投标报价，以及采购组织机构认为有必要宣读的其他内容；</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8、在完成评标后，宣布评标结果，开标会议结束。</w:t>
      </w:r>
    </w:p>
    <w:p>
      <w:pPr>
        <w:pStyle w:val="4"/>
      </w:pPr>
      <w:bookmarkStart w:id="36" w:name="_Toc19880422"/>
      <w:r>
        <w:rPr>
          <w:rFonts w:hint="eastAsia"/>
        </w:rPr>
        <w:t>六、评标</w:t>
      </w:r>
      <w:bookmarkEnd w:id="36"/>
    </w:p>
    <w:p>
      <w:pPr>
        <w:pStyle w:val="10"/>
        <w:snapToGrid w:val="0"/>
        <w:spacing w:line="360" w:lineRule="auto"/>
        <w:ind w:left="720" w:leftChars="228" w:hanging="241" w:hangingChars="100"/>
        <w:rPr>
          <w:rFonts w:asciiTheme="minorEastAsia" w:hAnsiTheme="minorEastAsia" w:eastAsiaTheme="minorEastAsia"/>
          <w:b/>
          <w:sz w:val="24"/>
        </w:rPr>
      </w:pPr>
      <w:r>
        <w:rPr>
          <w:rFonts w:asciiTheme="minorEastAsia" w:hAnsiTheme="minorEastAsia" w:eastAsiaTheme="minorEastAsia"/>
          <w:b/>
          <w:sz w:val="24"/>
        </w:rPr>
        <w:t>（一）组建评标委员会</w:t>
      </w:r>
    </w:p>
    <w:p>
      <w:pPr>
        <w:pStyle w:val="1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本项目评标委员会由政府采购评审专家</w:t>
      </w:r>
      <w:r>
        <w:rPr>
          <w:rFonts w:hint="eastAsia" w:asciiTheme="minorEastAsia" w:hAnsiTheme="minorEastAsia" w:eastAsiaTheme="minorEastAsia"/>
          <w:sz w:val="24"/>
        </w:rPr>
        <w:t>和采购单位评审代表</w:t>
      </w:r>
      <w:r>
        <w:rPr>
          <w:rFonts w:asciiTheme="minorEastAsia" w:hAnsiTheme="minorEastAsia" w:eastAsiaTheme="minorEastAsia"/>
          <w:sz w:val="24"/>
        </w:rPr>
        <w:t>组成。</w:t>
      </w:r>
    </w:p>
    <w:p>
      <w:pPr>
        <w:pStyle w:val="10"/>
        <w:snapToGrid w:val="0"/>
        <w:spacing w:line="360" w:lineRule="auto"/>
        <w:ind w:left="720" w:leftChars="228" w:hanging="241" w:hangingChars="100"/>
        <w:rPr>
          <w:rFonts w:asciiTheme="minorEastAsia" w:hAnsiTheme="minorEastAsia" w:eastAsiaTheme="minorEastAsia"/>
          <w:b/>
          <w:sz w:val="24"/>
        </w:rPr>
      </w:pPr>
      <w:r>
        <w:rPr>
          <w:rFonts w:asciiTheme="minorEastAsia" w:hAnsiTheme="minorEastAsia" w:eastAsiaTheme="minorEastAsia"/>
          <w:b/>
          <w:sz w:val="24"/>
        </w:rPr>
        <w:t>（</w:t>
      </w:r>
      <w:r>
        <w:rPr>
          <w:rFonts w:hint="eastAsia" w:asciiTheme="minorEastAsia" w:hAnsiTheme="minorEastAsia" w:eastAsiaTheme="minorEastAsia"/>
          <w:b/>
          <w:sz w:val="24"/>
        </w:rPr>
        <w:t>二</w:t>
      </w:r>
      <w:r>
        <w:rPr>
          <w:rFonts w:asciiTheme="minorEastAsia" w:hAnsiTheme="minorEastAsia" w:eastAsiaTheme="minorEastAsia"/>
          <w:b/>
          <w:sz w:val="24"/>
        </w:rPr>
        <w:t>）</w:t>
      </w:r>
      <w:r>
        <w:rPr>
          <w:rFonts w:asciiTheme="minorEastAsia" w:hAnsiTheme="minorEastAsia" w:eastAsiaTheme="minorEastAsia"/>
          <w:b/>
          <w:bCs/>
          <w:sz w:val="24"/>
        </w:rPr>
        <w:t>评标程序</w:t>
      </w:r>
    </w:p>
    <w:p>
      <w:pPr>
        <w:snapToGrid w:val="0"/>
        <w:spacing w:line="360" w:lineRule="auto"/>
        <w:ind w:firstLine="472" w:firstLineChars="196"/>
        <w:rPr>
          <w:rFonts w:asciiTheme="minorEastAsia" w:hAnsiTheme="minorEastAsia" w:eastAsiaTheme="minorEastAsia"/>
          <w:b/>
          <w:bCs/>
          <w:sz w:val="24"/>
        </w:rPr>
      </w:pPr>
      <w:r>
        <w:rPr>
          <w:rFonts w:hint="eastAsia" w:asciiTheme="minorEastAsia" w:hAnsiTheme="minorEastAsia" w:eastAsiaTheme="minorEastAsia"/>
          <w:b/>
          <w:bCs/>
          <w:sz w:val="24"/>
        </w:rPr>
        <w:t>1、资格</w:t>
      </w:r>
      <w:r>
        <w:rPr>
          <w:rFonts w:asciiTheme="minorEastAsia" w:hAnsiTheme="minorEastAsia" w:eastAsiaTheme="minorEastAsia"/>
          <w:b/>
          <w:bCs/>
          <w:sz w:val="24"/>
        </w:rPr>
        <w:t>审查</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公开招标采购项目开标结束后，采购人或者采购组织机构应当依法对投标人的资格进行审查，对审查发现无效的进行必要的询标，结束后公布无效投标的投标人名单、投标无效的原因。</w:t>
      </w:r>
    </w:p>
    <w:p>
      <w:pPr>
        <w:pStyle w:val="17"/>
        <w:spacing w:before="0" w:beforeAutospacing="0" w:after="0" w:afterAutospacing="0" w:line="360" w:lineRule="auto"/>
        <w:ind w:firstLine="472" w:firstLineChars="196"/>
        <w:jc w:val="both"/>
        <w:rPr>
          <w:rFonts w:hint="default" w:asciiTheme="minorEastAsia" w:hAnsiTheme="minorEastAsia" w:eastAsiaTheme="minorEastAsia"/>
          <w:b/>
          <w:bCs/>
        </w:rPr>
      </w:pPr>
      <w:r>
        <w:rPr>
          <w:rFonts w:asciiTheme="minorEastAsia" w:hAnsiTheme="minorEastAsia" w:eastAsiaTheme="minorEastAsia"/>
          <w:b/>
          <w:bCs/>
        </w:rPr>
        <w:t>2、符合性审查</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7"/>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3、</w:t>
      </w:r>
      <w:r>
        <w:rPr>
          <w:rFonts w:hint="default" w:ascii="Arial" w:hAnsi="Arial" w:cs="Arial"/>
          <w:b/>
          <w:bCs/>
        </w:rPr>
        <w:t>综合比较与评价</w:t>
      </w:r>
    </w:p>
    <w:p>
      <w:pPr>
        <w:pStyle w:val="17"/>
        <w:spacing w:before="0" w:beforeAutospacing="0" w:after="0" w:afterAutospacing="0" w:line="360" w:lineRule="auto"/>
        <w:ind w:firstLine="360" w:firstLineChars="150"/>
        <w:jc w:val="both"/>
        <w:rPr>
          <w:rFonts w:hint="default" w:asciiTheme="minorEastAsia" w:hAnsiTheme="minorEastAsia" w:eastAsiaTheme="minorEastAsia"/>
        </w:rPr>
      </w:pPr>
      <w:r>
        <w:rPr>
          <w:rFonts w:asciiTheme="minorEastAsia" w:hAnsiTheme="minorEastAsia" w:eastAsiaTheme="minorEastAsia"/>
        </w:rPr>
        <w:t>（1）对于投标文件中含义不明确、同类问题表述不一致或者有明显文字和计算错误的内容，评标委员会应当以书面形式要求投标人作出必要的澄清、说明或者补正。</w:t>
      </w:r>
    </w:p>
    <w:p>
      <w:pPr>
        <w:pStyle w:val="17"/>
        <w:spacing w:before="0" w:beforeAutospacing="0" w:after="0" w:afterAutospacing="0" w:line="360" w:lineRule="auto"/>
        <w:ind w:firstLine="360" w:firstLineChars="150"/>
        <w:jc w:val="both"/>
        <w:rPr>
          <w:rFonts w:hint="default" w:asciiTheme="minorEastAsia" w:hAnsiTheme="minorEastAsia" w:eastAsiaTheme="minorEastAsia"/>
        </w:rPr>
      </w:pPr>
      <w:r>
        <w:rPr>
          <w:rFonts w:asciiTheme="minorEastAsia" w:hAnsiTheme="minorEastAsia" w:eastAsiaTheme="minorEastAsia"/>
        </w:rPr>
        <w:t>（2）评标委员会应当按照招标文件中规定的评标方法和标准，对符合性审查合格的投标文件进行商务和技术评估，综合比较与评价。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kern w:val="0"/>
          <w:sz w:val="24"/>
        </w:rPr>
        <w:t>（3）评标时，评标委员会各成员应当独立对每个投标人的投标文件进行评价，并汇总每个投标人的得分。</w:t>
      </w:r>
    </w:p>
    <w:p>
      <w:pPr>
        <w:numPr>
          <w:ilvl w:val="255"/>
          <w:numId w:val="0"/>
        </w:numPr>
        <w:snapToGrid w:val="0"/>
        <w:spacing w:line="360" w:lineRule="auto"/>
        <w:ind w:firstLine="482" w:firstLineChars="200"/>
        <w:rPr>
          <w:rFonts w:ascii="Arial" w:hAnsi="Arial" w:cs="Arial"/>
          <w:b/>
          <w:bCs/>
          <w:sz w:val="24"/>
        </w:rPr>
      </w:pPr>
      <w:r>
        <w:rPr>
          <w:rFonts w:hint="eastAsia" w:ascii="Arial" w:hAnsi="Arial" w:cs="Arial"/>
          <w:b/>
          <w:bCs/>
          <w:sz w:val="24"/>
        </w:rPr>
        <w:t>4、得分确认及评审报告编写</w:t>
      </w:r>
    </w:p>
    <w:p>
      <w:pPr>
        <w:pStyle w:val="10"/>
        <w:snapToGrid w:val="0"/>
        <w:spacing w:line="360" w:lineRule="auto"/>
        <w:ind w:firstLine="420" w:firstLineChars="175"/>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rPr>
        <w:t>评标委员会对报价文件进行复核，对于系统计算出的价格分及总得分进行确认；</w:t>
      </w:r>
    </w:p>
    <w:p>
      <w:pPr>
        <w:pStyle w:val="17"/>
        <w:spacing w:before="0" w:beforeAutospacing="0" w:after="0" w:afterAutospacing="0" w:line="360" w:lineRule="auto"/>
        <w:ind w:firstLine="420" w:firstLineChars="175"/>
        <w:jc w:val="both"/>
        <w:rPr>
          <w:rFonts w:hint="default" w:asciiTheme="minorEastAsia" w:hAnsiTheme="minorEastAsia" w:eastAsiaTheme="minorEastAsia"/>
        </w:rPr>
      </w:pPr>
      <w:r>
        <w:rPr>
          <w:rFonts w:asciiTheme="minorEastAsia" w:hAnsiTheme="minorEastAsia" w:eastAsiaTheme="minorEastAsia"/>
        </w:rP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Arial" w:hAnsi="Arial" w:cs="Arial"/>
          <w:b/>
          <w:bCs/>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kern w:val="0"/>
          <w:sz w:val="24"/>
        </w:rPr>
        <w:t>评标委员会</w:t>
      </w:r>
      <w:r>
        <w:rPr>
          <w:rFonts w:asciiTheme="minorEastAsia" w:hAnsiTheme="minorEastAsia" w:eastAsiaTheme="minorEastAsia"/>
          <w:sz w:val="24"/>
        </w:rPr>
        <w:t>按评标原则</w:t>
      </w:r>
      <w:r>
        <w:rPr>
          <w:rFonts w:hint="eastAsia" w:asciiTheme="minorEastAsia" w:hAnsiTheme="minorEastAsia" w:eastAsiaTheme="minorEastAsia"/>
          <w:sz w:val="24"/>
        </w:rPr>
        <w:t>及得分情况编写评审报告。</w:t>
      </w:r>
    </w:p>
    <w:p>
      <w:pPr>
        <w:numPr>
          <w:ilvl w:val="255"/>
          <w:numId w:val="0"/>
        </w:num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5、评价</w:t>
      </w:r>
    </w:p>
    <w:p>
      <w:pPr>
        <w:snapToGrid w:val="0"/>
        <w:spacing w:line="360" w:lineRule="auto"/>
        <w:ind w:firstLine="480" w:firstLineChars="200"/>
        <w:rPr>
          <w:rFonts w:asciiTheme="minorEastAsia" w:hAnsiTheme="minorEastAsia" w:eastAsiaTheme="minorEastAsia"/>
          <w:b/>
          <w:kern w:val="0"/>
          <w:sz w:val="24"/>
        </w:rPr>
      </w:pPr>
      <w:r>
        <w:rPr>
          <w:rFonts w:hint="eastAsia" w:asciiTheme="minorEastAsia" w:hAnsiTheme="minorEastAsia" w:eastAsiaTheme="minorEastAsia"/>
          <w:sz w:val="24"/>
        </w:rPr>
        <w:t>采购组织机构对评标委员会评审专家进行评价。</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b/>
          <w:sz w:val="24"/>
        </w:rPr>
        <w:t>（三）澄清问题的形式</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sz w:val="24"/>
        </w:rPr>
        <w:t>投标人的澄清、说明或者补正应当采用书面形式，并加盖公章，或者由法定代理人或其授权的代表签字，并不得超出投标文件的范围或者改变投标文件的实质性内容。</w:t>
      </w:r>
    </w:p>
    <w:p>
      <w:pPr>
        <w:pStyle w:val="10"/>
        <w:snapToGrid w:val="0"/>
        <w:spacing w:line="360" w:lineRule="auto"/>
        <w:ind w:left="720" w:leftChars="228" w:hanging="241" w:hangingChars="100"/>
        <w:rPr>
          <w:rFonts w:asciiTheme="minorEastAsia" w:hAnsiTheme="minorEastAsia" w:eastAsiaTheme="minorEastAsia"/>
          <w:b/>
          <w:sz w:val="24"/>
        </w:rPr>
      </w:pPr>
      <w:r>
        <w:rPr>
          <w:rFonts w:hint="eastAsia" w:asciiTheme="minorEastAsia" w:hAnsiTheme="minorEastAsia" w:eastAsiaTheme="minorEastAsia"/>
          <w:b/>
          <w:sz w:val="24"/>
        </w:rPr>
        <w:t>（四）错误修正</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投标文件报价出现前后不一致的，除招标文件另有规定外，按照下列规定修正：</w:t>
      </w:r>
    </w:p>
    <w:p>
      <w:pPr>
        <w:pStyle w:val="17"/>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1、投标文件中开标一览表（报价表）内容与投标文件中相应内容不一致的，以开标一览表（报价表）为准；</w:t>
      </w:r>
    </w:p>
    <w:p>
      <w:pPr>
        <w:pStyle w:val="17"/>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2、大写金额和小写金额不一致的，以大写金额为准；</w:t>
      </w:r>
    </w:p>
    <w:p>
      <w:pPr>
        <w:pStyle w:val="17"/>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3、单价金额小数点或者百分比有明显错位的，以开标一览表的总价为准，并修改单价；</w:t>
      </w:r>
    </w:p>
    <w:p>
      <w:pPr>
        <w:pStyle w:val="17"/>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4、总价金额与按单价汇总金额不一致的，以单价金额计算结果为准。</w:t>
      </w:r>
    </w:p>
    <w:p>
      <w:pPr>
        <w:pStyle w:val="17"/>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7"/>
        <w:spacing w:before="0" w:beforeAutospacing="0" w:after="0" w:afterAutospacing="0" w:line="360" w:lineRule="auto"/>
        <w:ind w:firstLine="361" w:firstLineChars="150"/>
        <w:jc w:val="both"/>
        <w:rPr>
          <w:rFonts w:hint="default" w:asciiTheme="minorEastAsia" w:hAnsiTheme="minorEastAsia" w:eastAsiaTheme="minorEastAsia"/>
          <w:b/>
        </w:rPr>
      </w:pPr>
      <w:r>
        <w:rPr>
          <w:rFonts w:asciiTheme="minorEastAsia" w:hAnsiTheme="minorEastAsia" w:eastAsiaTheme="minorEastAsia"/>
          <w:b/>
          <w:bCs/>
        </w:rPr>
        <w:t>（五）</w:t>
      </w:r>
      <w:r>
        <w:rPr>
          <w:rFonts w:asciiTheme="minorEastAsia" w:hAnsiTheme="minorEastAsia" w:eastAsiaTheme="minorEastAsia"/>
          <w:b/>
        </w:rPr>
        <w:t>投标人存在下列情况之一的，投标无效</w:t>
      </w:r>
    </w:p>
    <w:p>
      <w:pPr>
        <w:adjustRightInd w:val="0"/>
        <w:snapToGrid w:val="0"/>
        <w:spacing w:line="360" w:lineRule="auto"/>
        <w:ind w:left="4" w:firstLine="470" w:firstLineChars="196"/>
        <w:jc w:val="left"/>
        <w:rPr>
          <w:rFonts w:asciiTheme="minorEastAsia" w:hAnsiTheme="minorEastAsia" w:eastAsiaTheme="minorEastAsia"/>
          <w:b/>
          <w:bCs/>
          <w:sz w:val="24"/>
        </w:rPr>
      </w:pPr>
      <w:r>
        <w:rPr>
          <w:rFonts w:hint="eastAsia" w:asciiTheme="minorEastAsia" w:hAnsiTheme="minorEastAsia" w:eastAsiaTheme="minorEastAsia"/>
          <w:kern w:val="0"/>
          <w:sz w:val="24"/>
        </w:rPr>
        <w:t>1、资格证明文件或商务与技术文件跟报价文件出现混装或在资格证明文件或商务与技术文件中出现投标报价的，或者报价文件中报价的货物跟商务与技术文件中的投标货物出现重大偏差的；</w:t>
      </w:r>
    </w:p>
    <w:p>
      <w:pPr>
        <w:pStyle w:val="17"/>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2、不具备招标文件中规定的资格要求的。</w:t>
      </w:r>
      <w:r>
        <w:rPr>
          <w:rFonts w:hint="default" w:asciiTheme="minorEastAsia" w:hAnsiTheme="minorEastAsia" w:eastAsiaTheme="minorEastAsia"/>
        </w:rPr>
        <w:tab/>
      </w:r>
    </w:p>
    <w:p>
      <w:pPr>
        <w:pStyle w:val="17"/>
        <w:adjustRightInd w:val="0"/>
        <w:snapToGrid w:val="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3、投标文件含有采购人不能接受的附加条件的。</w:t>
      </w:r>
    </w:p>
    <w:p>
      <w:pPr>
        <w:adjustRightInd w:val="0"/>
        <w:snapToGrid w:val="0"/>
        <w:spacing w:line="360" w:lineRule="auto"/>
        <w:ind w:firstLine="470" w:firstLineChars="196"/>
        <w:rPr>
          <w:rFonts w:asciiTheme="minorEastAsia" w:hAnsiTheme="minorEastAsia" w:eastAsiaTheme="minorEastAsia"/>
          <w:bCs/>
          <w:kern w:val="0"/>
          <w:sz w:val="24"/>
        </w:rPr>
      </w:pPr>
      <w:r>
        <w:rPr>
          <w:rFonts w:hint="eastAsia" w:asciiTheme="minorEastAsia" w:hAnsiTheme="minorEastAsia" w:eastAsiaTheme="minorEastAsia"/>
          <w:kern w:val="0"/>
          <w:sz w:val="24"/>
        </w:rPr>
        <w:t>4</w:t>
      </w:r>
      <w:r>
        <w:rPr>
          <w:rFonts w:hint="eastAsia" w:asciiTheme="minorEastAsia" w:hAnsiTheme="minorEastAsia" w:eastAsiaTheme="minorEastAsia"/>
          <w:sz w:val="24"/>
        </w:rPr>
        <w:t>、投标代表人未能出具身份证明或与法定代表人授权委托人身份不符的；</w:t>
      </w:r>
    </w:p>
    <w:p>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6、报价超过招标文件中规定的预算金额。 </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7、投标参数未如实填写，完全复制粘贴招标参数的。</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8、投标文件提供虚假材料的。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9</w:t>
      </w:r>
      <w:r>
        <w:rPr>
          <w:rFonts w:asciiTheme="minorEastAsia" w:hAnsiTheme="minorEastAsia" w:eastAsiaTheme="minorEastAsia"/>
          <w:kern w:val="0"/>
          <w:sz w:val="24"/>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pStyle w:val="17"/>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（1）不同投标人的投标文件由同一单位或者个人编制；</w:t>
      </w:r>
    </w:p>
    <w:p>
      <w:pPr>
        <w:pStyle w:val="17"/>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（2）不同投标人委托同一单位或者个人办理投标事宜；</w:t>
      </w:r>
    </w:p>
    <w:p>
      <w:pPr>
        <w:pStyle w:val="17"/>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（3）不同投标人的投标文件载明的项目管理成员或者联系人员为同一人；</w:t>
      </w:r>
    </w:p>
    <w:p>
      <w:pPr>
        <w:pStyle w:val="17"/>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（4）不同投标人的投标文件异常一致或者投标报价呈规律性差异；</w:t>
      </w:r>
    </w:p>
    <w:p>
      <w:pPr>
        <w:pStyle w:val="17"/>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（5）不同投标人的投标文件相互混装；</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11、不符合法律、法规和招标文件中规定的其他实质性要求的（招标文件</w:t>
      </w:r>
    </w:p>
    <w:p>
      <w:pPr>
        <w:tabs>
          <w:tab w:val="right" w:pos="8306"/>
        </w:tabs>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中打“▲”内容及被拒绝的条款）。</w:t>
      </w:r>
    </w:p>
    <w:p>
      <w:pPr>
        <w:autoSpaceDE w:val="0"/>
        <w:autoSpaceDN w:val="0"/>
        <w:adjustRightInd w:val="0"/>
        <w:spacing w:line="360" w:lineRule="auto"/>
        <w:ind w:left="480"/>
        <w:rPr>
          <w:rFonts w:asciiTheme="minorEastAsia" w:hAnsiTheme="minorEastAsia" w:eastAsiaTheme="minorEastAsia"/>
          <w:kern w:val="0"/>
          <w:sz w:val="24"/>
        </w:rPr>
      </w:pPr>
      <w:r>
        <w:rPr>
          <w:rFonts w:hint="eastAsia" w:asciiTheme="minorEastAsia" w:hAnsiTheme="minorEastAsia" w:eastAsiaTheme="minorEastAsia"/>
          <w:b/>
          <w:kern w:val="0"/>
          <w:sz w:val="24"/>
        </w:rPr>
        <w:t>（六）有下列情况之一的，本次招标作为废标处理</w:t>
      </w:r>
    </w:p>
    <w:p>
      <w:pPr>
        <w:pStyle w:val="17"/>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1、出现影响采购公正的违法、违规行为的；</w:t>
      </w:r>
    </w:p>
    <w:p>
      <w:pPr>
        <w:pStyle w:val="17"/>
        <w:spacing w:before="0" w:beforeAutospacing="0" w:after="0" w:afterAutospacing="0" w:line="360" w:lineRule="auto"/>
        <w:ind w:firstLine="600" w:firstLineChars="250"/>
        <w:jc w:val="both"/>
        <w:rPr>
          <w:rFonts w:hint="default" w:asciiTheme="minorEastAsia" w:hAnsiTheme="minorEastAsia" w:eastAsiaTheme="minorEastAsia"/>
          <w:b/>
          <w:bCs/>
        </w:rPr>
      </w:pPr>
      <w:r>
        <w:rPr>
          <w:rFonts w:asciiTheme="minorEastAsia" w:hAnsiTheme="minorEastAsia" w:eastAsiaTheme="minorEastAsia"/>
        </w:rPr>
        <w:t xml:space="preserve">2、评标委员会发现招标文件存在歧义、重大缺陷导致评标工作无法进行，或者招标文件内容违反国家有关强制性规定的； </w:t>
      </w:r>
    </w:p>
    <w:p>
      <w:pPr>
        <w:pStyle w:val="17"/>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3、因重大变故，采购任务取消的；</w:t>
      </w:r>
    </w:p>
    <w:p>
      <w:pPr>
        <w:pStyle w:val="17"/>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4、法律、法规和招标文件规定的其他导致评标结果无效的。</w:t>
      </w:r>
    </w:p>
    <w:p>
      <w:pPr>
        <w:pStyle w:val="10"/>
        <w:tabs>
          <w:tab w:val="left" w:pos="630"/>
        </w:tabs>
        <w:snapToGrid w:val="0"/>
        <w:spacing w:line="360" w:lineRule="auto"/>
        <w:ind w:firstLine="472" w:firstLineChars="196"/>
        <w:rPr>
          <w:rFonts w:asciiTheme="minorEastAsia" w:hAnsiTheme="minorEastAsia" w:eastAsiaTheme="minorEastAsia"/>
          <w:b/>
          <w:sz w:val="24"/>
        </w:rPr>
      </w:pPr>
      <w:r>
        <w:rPr>
          <w:rFonts w:asciiTheme="minorEastAsia" w:hAnsiTheme="minorEastAsia" w:eastAsiaTheme="minorEastAsia"/>
          <w:b/>
          <w:sz w:val="24"/>
        </w:rPr>
        <w:t>（</w:t>
      </w:r>
      <w:r>
        <w:rPr>
          <w:rFonts w:hint="eastAsia" w:asciiTheme="minorEastAsia" w:hAnsiTheme="minorEastAsia" w:eastAsiaTheme="minorEastAsia"/>
          <w:b/>
          <w:sz w:val="24"/>
        </w:rPr>
        <w:t>七</w:t>
      </w:r>
      <w:r>
        <w:rPr>
          <w:rFonts w:asciiTheme="minorEastAsia" w:hAnsiTheme="minorEastAsia" w:eastAsiaTheme="minorEastAsia"/>
          <w:b/>
          <w:sz w:val="24"/>
        </w:rPr>
        <w:t>）评标原则和评标办法</w:t>
      </w:r>
    </w:p>
    <w:p>
      <w:pPr>
        <w:pStyle w:val="10"/>
        <w:snapToGrid w:val="0"/>
        <w:spacing w:line="360" w:lineRule="auto"/>
        <w:ind w:firstLine="600" w:firstLineChars="25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0"/>
        <w:snapToGrid w:val="0"/>
        <w:spacing w:line="360" w:lineRule="auto"/>
        <w:ind w:firstLine="600" w:firstLineChars="25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评标办法。具体评标内容及评分标准等详见《第</w:t>
      </w:r>
      <w:r>
        <w:rPr>
          <w:rFonts w:hint="eastAsia" w:asciiTheme="minorEastAsia" w:hAnsiTheme="minorEastAsia" w:eastAsiaTheme="minorEastAsia"/>
          <w:sz w:val="24"/>
        </w:rPr>
        <w:t>三章</w:t>
      </w:r>
      <w:r>
        <w:rPr>
          <w:rFonts w:asciiTheme="minorEastAsia" w:hAnsiTheme="minorEastAsia" w:eastAsiaTheme="minorEastAsia"/>
          <w:sz w:val="24"/>
        </w:rPr>
        <w:t>：评标</w:t>
      </w:r>
      <w:r>
        <w:rPr>
          <w:rFonts w:hint="eastAsia" w:asciiTheme="minorEastAsia" w:hAnsiTheme="minorEastAsia" w:eastAsiaTheme="minorEastAsia"/>
          <w:sz w:val="24"/>
        </w:rPr>
        <w:t>方</w:t>
      </w:r>
      <w:r>
        <w:rPr>
          <w:rFonts w:asciiTheme="minorEastAsia" w:hAnsiTheme="minorEastAsia" w:eastAsiaTheme="minorEastAsia"/>
          <w:sz w:val="24"/>
        </w:rPr>
        <w:t>法及评分标准》。</w:t>
      </w:r>
    </w:p>
    <w:p>
      <w:pPr>
        <w:pStyle w:val="10"/>
        <w:snapToGrid w:val="0"/>
        <w:spacing w:line="360" w:lineRule="auto"/>
        <w:ind w:firstLine="472" w:firstLineChars="196"/>
        <w:rPr>
          <w:rFonts w:asciiTheme="minorEastAsia" w:hAnsiTheme="minorEastAsia" w:eastAsiaTheme="minorEastAsia"/>
          <w:b/>
          <w:sz w:val="24"/>
        </w:rPr>
      </w:pPr>
      <w:r>
        <w:rPr>
          <w:rFonts w:asciiTheme="minorEastAsia" w:hAnsiTheme="minorEastAsia" w:eastAsiaTheme="minorEastAsia"/>
          <w:b/>
          <w:sz w:val="24"/>
        </w:rPr>
        <w:t>（</w:t>
      </w:r>
      <w:r>
        <w:rPr>
          <w:rFonts w:hint="eastAsia" w:asciiTheme="minorEastAsia" w:hAnsiTheme="minorEastAsia" w:eastAsiaTheme="minorEastAsia"/>
          <w:b/>
          <w:sz w:val="24"/>
        </w:rPr>
        <w:t>八</w:t>
      </w:r>
      <w:r>
        <w:rPr>
          <w:rFonts w:asciiTheme="minorEastAsia" w:hAnsiTheme="minorEastAsia" w:eastAsiaTheme="minorEastAsia"/>
          <w:b/>
          <w:sz w:val="24"/>
        </w:rPr>
        <w:t>）评标过程的监控</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本项目评标过程实行全程录音、录像监控，政府采购监管部门视情进行现场监督，投标人在评标过程中所进行的试图影响评标结果的不公正活动，可能导致其投标被拒绝。</w:t>
      </w:r>
    </w:p>
    <w:p>
      <w:pPr>
        <w:pStyle w:val="4"/>
      </w:pPr>
      <w:bookmarkStart w:id="37" w:name="_Toc19880423"/>
      <w:r>
        <w:t>七、定标</w:t>
      </w:r>
      <w:bookmarkEnd w:id="37"/>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1、</w:t>
      </w:r>
      <w:r>
        <w:t>确定中标供应商。</w:t>
      </w: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kern w:val="0"/>
          <w:sz w:val="24"/>
        </w:rPr>
      </w:pPr>
      <w:r>
        <w:rPr>
          <w:rFonts w:asciiTheme="minorEastAsia" w:hAnsiTheme="minorEastAsia" w:eastAsiaTheme="minorEastAsia"/>
          <w:sz w:val="24"/>
        </w:rPr>
        <w:t>2、</w:t>
      </w:r>
      <w:r>
        <w:rPr>
          <w:rFonts w:hint="eastAsia" w:ascii="宋体" w:hAnsi="宋体"/>
          <w:kern w:val="0"/>
          <w:sz w:val="24"/>
        </w:rPr>
        <w:t>发布</w:t>
      </w:r>
      <w:r>
        <w:rPr>
          <w:sz w:val="24"/>
        </w:rPr>
        <w:t>中标</w:t>
      </w:r>
      <w:r>
        <w:rPr>
          <w:rFonts w:hint="eastAsia" w:ascii="宋体" w:hAnsi="宋体"/>
          <w:kern w:val="0"/>
          <w:sz w:val="24"/>
        </w:rPr>
        <w:t>结果公告。采购组织机构应当自中标人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在省级以上财政部门指定的媒体及相关网站</w:t>
      </w:r>
      <w:r>
        <w:rPr>
          <w:rFonts w:hint="eastAsia" w:ascii="宋体" w:hAnsi="宋体"/>
          <w:kern w:val="0"/>
          <w:sz w:val="24"/>
        </w:rPr>
        <w:t>上</w:t>
      </w:r>
      <w:r>
        <w:rPr>
          <w:rFonts w:ascii="宋体" w:hAnsi="宋体"/>
          <w:kern w:val="0"/>
          <w:sz w:val="24"/>
        </w:rPr>
        <w:t>公告</w:t>
      </w:r>
      <w:r>
        <w:rPr>
          <w:rFonts w:hint="eastAsia" w:ascii="宋体" w:hAnsi="宋体"/>
          <w:kern w:val="0"/>
          <w:sz w:val="24"/>
        </w:rPr>
        <w:t>中标结果，招标文件应当随中标结果同时公告。因中标结果公告需要，评审结果排名第一的中标候选人在评审结束后2个工作日内将招标文件附件《中标供应商公告内容》填写完整后，以电子文档形式提交给采购代理机构项目负责人（或者发送至电子邮箱：8859987@qq.com ）。未按时提供所造成的后果由供应商自行承担。</w:t>
      </w:r>
    </w:p>
    <w:p>
      <w:pPr>
        <w:spacing w:line="360" w:lineRule="auto"/>
        <w:ind w:firstLine="480" w:firstLineChars="200"/>
        <w:rPr>
          <w:rFonts w:ascii="宋体" w:hAnsi="宋体"/>
          <w:kern w:val="0"/>
          <w:sz w:val="24"/>
        </w:rPr>
      </w:pPr>
      <w:r>
        <w:rPr>
          <w:rFonts w:hint="eastAsia" w:ascii="宋体" w:hAnsi="宋体"/>
          <w:kern w:val="0"/>
          <w:sz w:val="24"/>
        </w:rPr>
        <w:t>3、发出中标通知书。采购组织机构在发布中标结果的同时，向中标人发出中标通知书。</w:t>
      </w:r>
    </w:p>
    <w:p>
      <w:pPr>
        <w:pStyle w:val="4"/>
      </w:pPr>
      <w:bookmarkStart w:id="38" w:name="_Toc19880424"/>
      <w:r>
        <w:t>八、</w:t>
      </w:r>
      <w:r>
        <w:rPr>
          <w:rFonts w:hint="eastAsia"/>
        </w:rPr>
        <w:t>合同签订及公告</w:t>
      </w:r>
      <w:bookmarkEnd w:id="38"/>
    </w:p>
    <w:p>
      <w:pPr>
        <w:spacing w:line="360" w:lineRule="auto"/>
        <w:ind w:firstLine="482" w:firstLineChars="200"/>
        <w:rPr>
          <w:rFonts w:ascii="宋体" w:hAnsi="宋体"/>
          <w:b/>
          <w:kern w:val="0"/>
          <w:sz w:val="24"/>
        </w:rPr>
      </w:pPr>
      <w:r>
        <w:rPr>
          <w:rFonts w:hint="eastAsia" w:ascii="宋体" w:hAnsi="宋体"/>
          <w:b/>
          <w:sz w:val="24"/>
        </w:rPr>
        <w:t>（一）签订合同</w:t>
      </w:r>
    </w:p>
    <w:p>
      <w:pPr>
        <w:pStyle w:val="17"/>
        <w:spacing w:before="0" w:beforeAutospacing="0" w:after="0" w:afterAutospacing="0" w:line="360" w:lineRule="auto"/>
        <w:ind w:firstLine="600" w:firstLineChars="250"/>
        <w:jc w:val="both"/>
        <w:rPr>
          <w:rFonts w:hint="default"/>
        </w:rPr>
      </w:pPr>
      <w:r>
        <w:t>1、采购人应当自中标通知书发出之日起3个工作日内，按照招标文件和中标人投标文件的规定，与中标人签订书面合同。所签订的合同不得对招标文件确定的事项和中标人投标文件作实质性修改。</w:t>
      </w:r>
    </w:p>
    <w:p>
      <w:pPr>
        <w:pStyle w:val="17"/>
        <w:spacing w:before="0" w:beforeAutospacing="0" w:after="0" w:afterAutospacing="0" w:line="360" w:lineRule="auto"/>
        <w:ind w:firstLine="600" w:firstLineChars="250"/>
        <w:jc w:val="both"/>
        <w:rPr>
          <w:rFonts w:hint="default"/>
        </w:rPr>
      </w:pPr>
      <w:r>
        <w:t>2、采购人不得向中标人提出任何不合理的要求作为签订合同的条件。</w:t>
      </w:r>
    </w:p>
    <w:p>
      <w:pPr>
        <w:pStyle w:val="17"/>
        <w:spacing w:before="0" w:beforeAutospacing="0" w:after="0" w:afterAutospacing="0" w:line="360" w:lineRule="auto"/>
        <w:ind w:firstLine="600" w:firstLineChars="250"/>
        <w:jc w:val="both"/>
        <w:rPr>
          <w:rFonts w:hint="default"/>
        </w:rPr>
      </w:pPr>
      <w:r>
        <w:t>3、中标供应商无故拖延、拒签合同的,取消中标资格。</w:t>
      </w:r>
    </w:p>
    <w:p>
      <w:pPr>
        <w:pStyle w:val="17"/>
        <w:spacing w:before="0" w:beforeAutospacing="0" w:after="0" w:afterAutospacing="0" w:line="360" w:lineRule="auto"/>
        <w:ind w:firstLine="600" w:firstLineChars="250"/>
        <w:jc w:val="both"/>
        <w:rPr>
          <w:rFonts w:hint="default"/>
        </w:rPr>
      </w:pPr>
      <w: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7"/>
        <w:spacing w:before="0" w:beforeAutospacing="0" w:after="0" w:afterAutospacing="0" w:line="360" w:lineRule="auto"/>
        <w:ind w:firstLine="600" w:firstLineChars="250"/>
        <w:jc w:val="both"/>
        <w:rPr>
          <w:rFonts w:hint="default"/>
        </w:rPr>
      </w:pPr>
      <w:r>
        <w:t>5、询问或者质疑事项可能影响中标结果的，采购人应当暂停签订合同，已经签订合同的，应当中止履行合同（中标结果的质疑期为中标结果公告期限届满之日起七个工作日）。</w:t>
      </w:r>
    </w:p>
    <w:p>
      <w:pPr>
        <w:rPr>
          <w:rFonts w:hint="eastAsia"/>
        </w:rPr>
      </w:pPr>
    </w:p>
    <w:p>
      <w:pPr>
        <w:pStyle w:val="2"/>
        <w:rPr>
          <w:rFonts w:hint="eastAsia"/>
        </w:rPr>
      </w:pPr>
    </w:p>
    <w:p>
      <w:pPr>
        <w:widowControl/>
        <w:jc w:val="left"/>
        <w:rPr>
          <w:sz w:val="24"/>
        </w:rPr>
      </w:pPr>
      <w:r>
        <w:br w:type="page"/>
      </w:r>
    </w:p>
    <w:p>
      <w:pPr>
        <w:pStyle w:val="3"/>
        <w:jc w:val="center"/>
        <w:rPr>
          <w:rFonts w:hint="eastAsia"/>
        </w:rPr>
      </w:pPr>
      <w:bookmarkStart w:id="39" w:name="_Toc19880425"/>
      <w:r>
        <w:rPr>
          <w:rFonts w:hint="eastAsia"/>
        </w:rPr>
        <w:t>第三章评分办法及评分标准</w:t>
      </w:r>
      <w:bookmarkEnd w:id="39"/>
    </w:p>
    <w:p>
      <w:pPr>
        <w:spacing w:line="360" w:lineRule="auto"/>
        <w:ind w:firstLine="480" w:firstLineChars="200"/>
        <w:rPr>
          <w:rFonts w:asciiTheme="minorEastAsia" w:hAnsiTheme="minorEastAsia" w:eastAsiaTheme="minorEastAsia"/>
          <w:b/>
          <w:i/>
          <w:kern w:val="0"/>
          <w:sz w:val="24"/>
        </w:rPr>
      </w:pPr>
      <w:r>
        <w:rPr>
          <w:rFonts w:hint="eastAsia" w:asciiTheme="minorEastAsia" w:hAnsiTheme="minorEastAsia" w:eastAsiaTheme="minorEastAsia"/>
          <w:kern w:val="0"/>
          <w:sz w:val="24"/>
        </w:rPr>
        <w:t>一、采购组织机构将组织评标委员会，对投标人提供的投标文件进行综合评审。</w:t>
      </w:r>
    </w:p>
    <w:p>
      <w:pPr>
        <w:spacing w:line="360" w:lineRule="auto"/>
        <w:ind w:firstLine="480" w:firstLineChars="200"/>
        <w:rPr>
          <w:rFonts w:asciiTheme="minorEastAsia" w:hAnsiTheme="minorEastAsia" w:eastAsiaTheme="minorEastAsia"/>
          <w:bCs/>
          <w:sz w:val="24"/>
          <w:lang w:val="zh-CN"/>
        </w:rPr>
      </w:pPr>
      <w:r>
        <w:rPr>
          <w:rFonts w:hint="eastAsia" w:asciiTheme="minorEastAsia" w:hAnsiTheme="minorEastAsia" w:eastAsiaTheme="minorEastAsia"/>
          <w:kern w:val="0"/>
          <w:sz w:val="24"/>
        </w:rPr>
        <w:t>二、本次招标项目的评标方法为综合评分法，总计100分</w:t>
      </w:r>
      <w:r>
        <w:rPr>
          <w:rFonts w:hint="eastAsia" w:asciiTheme="minorEastAsia" w:hAnsiTheme="minorEastAsia" w:eastAsiaTheme="minorEastAsia"/>
          <w:bCs/>
          <w:sz w:val="24"/>
          <w:lang w:val="zh-CN"/>
        </w:rPr>
        <w:t>(商务与技术文件为</w:t>
      </w:r>
      <w:r>
        <w:rPr>
          <w:rFonts w:hint="eastAsia" w:asciiTheme="minorEastAsia" w:hAnsiTheme="minorEastAsia" w:eastAsiaTheme="minorEastAsia"/>
          <w:bCs/>
          <w:sz w:val="24"/>
        </w:rPr>
        <w:t>7</w:t>
      </w:r>
      <w:r>
        <w:rPr>
          <w:rFonts w:hint="eastAsia" w:asciiTheme="minorEastAsia" w:hAnsiTheme="minorEastAsia" w:eastAsiaTheme="minorEastAsia"/>
          <w:bCs/>
          <w:sz w:val="24"/>
          <w:u w:val="single"/>
        </w:rPr>
        <w:t>0</w:t>
      </w:r>
      <w:r>
        <w:rPr>
          <w:rFonts w:hint="eastAsia" w:asciiTheme="minorEastAsia" w:hAnsiTheme="minorEastAsia" w:eastAsiaTheme="minorEastAsia"/>
          <w:bCs/>
          <w:sz w:val="24"/>
          <w:lang w:val="zh-CN"/>
        </w:rPr>
        <w:t>分，报价文件为</w:t>
      </w:r>
      <w:r>
        <w:rPr>
          <w:rFonts w:hint="eastAsia" w:asciiTheme="minorEastAsia" w:hAnsiTheme="minorEastAsia" w:eastAsiaTheme="minorEastAsia"/>
          <w:bCs/>
          <w:sz w:val="24"/>
        </w:rPr>
        <w:t>30</w:t>
      </w:r>
      <w:r>
        <w:rPr>
          <w:rFonts w:hint="eastAsia" w:asciiTheme="minorEastAsia" w:hAnsiTheme="minorEastAsia" w:eastAsiaTheme="minorEastAsia"/>
          <w:bCs/>
          <w:sz w:val="24"/>
          <w:lang w:val="zh-CN"/>
        </w:rPr>
        <w:t>分)</w:t>
      </w:r>
      <w:r>
        <w:rPr>
          <w:rFonts w:hint="eastAsia" w:asciiTheme="minorEastAsia" w:hAnsiTheme="minorEastAsia" w:eastAsiaTheme="minorEastAsia"/>
          <w:kern w:val="0"/>
          <w:sz w:val="24"/>
        </w:rPr>
        <w:t>。</w:t>
      </w:r>
      <w:r>
        <w:rPr>
          <w:rFonts w:hint="eastAsia" w:asciiTheme="minorEastAsia" w:hAnsiTheme="minorEastAsia" w:eastAsiaTheme="minorEastAsia"/>
          <w:bCs/>
          <w:sz w:val="24"/>
          <w:lang w:val="zh-CN"/>
        </w:rPr>
        <w:t>各投标人的综合得分为其商务与技术文件得分与报价文件得分之和，即综合得分=商务与技术文件得分+报价文件得分。</w:t>
      </w:r>
    </w:p>
    <w:p>
      <w:pPr>
        <w:spacing w:line="360" w:lineRule="auto"/>
        <w:ind w:firstLine="480" w:firstLineChars="200"/>
        <w:rPr>
          <w:rFonts w:asciiTheme="minorEastAsia" w:hAnsiTheme="minorEastAsia" w:eastAsiaTheme="minorEastAsia"/>
          <w:bCs/>
          <w:sz w:val="24"/>
          <w:lang w:val="zh-CN"/>
        </w:rPr>
      </w:pPr>
      <w:r>
        <w:rPr>
          <w:rFonts w:hint="eastAsia" w:asciiTheme="minorEastAsia" w:hAnsiTheme="minorEastAsia" w:eastAsiaTheme="minorEastAsia"/>
          <w:bCs/>
          <w:sz w:val="24"/>
          <w:lang w:val="zh-CN"/>
        </w:rPr>
        <w:t>（一）商务与技术文件中的客观分由评标委员会讨论后统一打分；其余在规定的分值内单独评定打分（</w:t>
      </w:r>
      <w:r>
        <w:rPr>
          <w:rFonts w:hint="eastAsia" w:asciiTheme="minorEastAsia" w:hAnsiTheme="minorEastAsia" w:eastAsiaTheme="minorEastAsia"/>
          <w:sz w:val="24"/>
          <w:lang w:val="zh-CN"/>
        </w:rPr>
        <w:t>小数点后保留1位，第2位四舍五入）</w:t>
      </w:r>
      <w:r>
        <w:rPr>
          <w:rFonts w:hint="eastAsia" w:asciiTheme="minorEastAsia" w:hAnsiTheme="minorEastAsia" w:eastAsiaTheme="minorEastAsia"/>
          <w:bCs/>
          <w:sz w:val="24"/>
          <w:lang w:val="zh-CN"/>
        </w:rPr>
        <w:t>。</w:t>
      </w:r>
    </w:p>
    <w:p>
      <w:pPr>
        <w:spacing w:line="360" w:lineRule="auto"/>
        <w:ind w:firstLine="480" w:firstLineChars="200"/>
        <w:rPr>
          <w:rFonts w:asciiTheme="minorEastAsia" w:hAnsiTheme="minorEastAsia" w:eastAsiaTheme="minorEastAsia"/>
          <w:bCs/>
          <w:sz w:val="24"/>
          <w:shd w:val="clear" w:color="FFFFFF" w:fill="D9D9D9"/>
          <w:lang w:val="zh-CN"/>
        </w:rPr>
      </w:pPr>
      <w:r>
        <w:rPr>
          <w:rFonts w:hint="eastAsia" w:asciiTheme="minorEastAsia" w:hAnsiTheme="minorEastAsia" w:eastAsiaTheme="minorEastAsia"/>
          <w:bCs/>
          <w:sz w:val="24"/>
          <w:lang w:val="zh-CN"/>
        </w:rPr>
        <w:t>（二）各投标人商务与技术文件</w:t>
      </w:r>
      <w:r>
        <w:rPr>
          <w:rFonts w:hint="eastAsia" w:asciiTheme="minorEastAsia" w:hAnsiTheme="minorEastAsia" w:eastAsiaTheme="minorEastAsia"/>
          <w:kern w:val="0"/>
          <w:sz w:val="24"/>
          <w:lang w:val="zh-CN"/>
        </w:rPr>
        <w:t>得分按照评标委员会成</w:t>
      </w:r>
      <w:r>
        <w:rPr>
          <w:rFonts w:hint="eastAsia" w:asciiTheme="minorEastAsia" w:hAnsiTheme="minorEastAsia" w:eastAsiaTheme="minorEastAsia"/>
          <w:bCs/>
          <w:sz w:val="24"/>
          <w:lang w:val="zh-CN"/>
        </w:rPr>
        <w:t>员的独立评分结果汇总后的算术平均分计算（</w:t>
      </w:r>
      <w:r>
        <w:rPr>
          <w:rFonts w:hint="eastAsia" w:asciiTheme="minorEastAsia" w:hAnsiTheme="minorEastAsia" w:eastAsiaTheme="minorEastAsia"/>
          <w:sz w:val="24"/>
          <w:lang w:val="zh-CN"/>
        </w:rPr>
        <w:t>小数点后保留2位，第3位四舍五入）</w:t>
      </w:r>
      <w:r>
        <w:rPr>
          <w:rFonts w:hint="eastAsia" w:asciiTheme="minorEastAsia" w:hAnsiTheme="minorEastAsia" w:eastAsiaTheme="minorEastAsia"/>
          <w:bCs/>
          <w:sz w:val="24"/>
          <w:lang w:val="zh-CN"/>
        </w:rPr>
        <w:t>，计算公式为：</w:t>
      </w:r>
    </w:p>
    <w:p>
      <w:pPr>
        <w:spacing w:line="360" w:lineRule="auto"/>
        <w:ind w:firstLine="480" w:firstLineChars="200"/>
        <w:rPr>
          <w:rFonts w:asciiTheme="minorEastAsia" w:hAnsiTheme="minorEastAsia" w:eastAsiaTheme="minorEastAsia"/>
          <w:bCs/>
          <w:sz w:val="24"/>
          <w:shd w:val="clear" w:color="FFFFFF" w:fill="D9D9D9"/>
          <w:lang w:val="zh-CN"/>
        </w:rPr>
      </w:pPr>
      <w:r>
        <w:rPr>
          <w:rFonts w:hint="eastAsia" w:asciiTheme="minorEastAsia" w:hAnsiTheme="minorEastAsia" w:eastAsiaTheme="minorEastAsia"/>
          <w:sz w:val="24"/>
        </w:rPr>
        <w:t>商务与技术文件得分</w:t>
      </w:r>
      <w:r>
        <w:rPr>
          <w:rFonts w:hint="eastAsia" w:asciiTheme="minorEastAsia" w:hAnsiTheme="minorEastAsia" w:eastAsiaTheme="minorEastAsia"/>
          <w:bCs/>
          <w:sz w:val="24"/>
          <w:lang w:val="zh-CN"/>
        </w:rPr>
        <w:t>=评标委员会所有成员评分合计数/评标委员会组成人员数。</w:t>
      </w:r>
    </w:p>
    <w:p>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bCs/>
          <w:sz w:val="24"/>
          <w:lang w:val="zh-CN"/>
        </w:rPr>
        <w:t>（三）</w:t>
      </w:r>
      <w:r>
        <w:rPr>
          <w:rFonts w:hint="eastAsia" w:asciiTheme="minorEastAsia" w:hAnsiTheme="minorEastAsia" w:eastAsiaTheme="minorEastAsia"/>
          <w:sz w:val="24"/>
          <w:lang w:val="zh-CN"/>
        </w:rPr>
        <w:t>投标报价得分采用低价优先法计算，即满足招标文件要求且投标价格最低的投标报价为评标基准价，其报价得满分。其他投标人的投标报价得分按下列公式计算</w:t>
      </w:r>
      <w:r>
        <w:rPr>
          <w:rFonts w:hint="eastAsia" w:asciiTheme="minorEastAsia" w:hAnsiTheme="minorEastAsia" w:eastAsiaTheme="minorEastAsia"/>
          <w:bCs/>
          <w:sz w:val="24"/>
          <w:lang w:val="zh-CN"/>
        </w:rPr>
        <w:t>（</w:t>
      </w:r>
      <w:r>
        <w:rPr>
          <w:rFonts w:hint="eastAsia" w:asciiTheme="minorEastAsia" w:hAnsiTheme="minorEastAsia" w:eastAsiaTheme="minorEastAsia"/>
          <w:sz w:val="24"/>
          <w:lang w:val="zh-CN"/>
        </w:rPr>
        <w:t>小数点后保留2位，第3位四舍五入）：</w:t>
      </w:r>
    </w:p>
    <w:p>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投标报价得</w:t>
      </w:r>
      <w:r>
        <w:rPr>
          <w:rFonts w:asciiTheme="minorEastAsia" w:hAnsiTheme="minorEastAsia" w:eastAsiaTheme="minorEastAsia"/>
          <w:sz w:val="24"/>
          <w:u w:val="single"/>
        </w:rPr>
        <w:t>分=(评标基准价／投标报价)×</w:t>
      </w:r>
      <w:r>
        <w:rPr>
          <w:rFonts w:hint="eastAsia" w:asciiTheme="minorEastAsia" w:hAnsiTheme="minorEastAsia" w:eastAsiaTheme="minorEastAsia"/>
          <w:sz w:val="24"/>
          <w:u w:val="single"/>
        </w:rPr>
        <w:t>30%</w:t>
      </w:r>
      <w:r>
        <w:rPr>
          <w:rFonts w:asciiTheme="minorEastAsia" w:hAnsiTheme="minorEastAsia" w:eastAsiaTheme="minorEastAsia"/>
          <w:sz w:val="24"/>
          <w:u w:val="single"/>
        </w:rPr>
        <w:t>×100</w:t>
      </w:r>
      <w:r>
        <w:rPr>
          <w:rFonts w:hint="eastAsia" w:asciiTheme="minorEastAsia" w:hAnsiTheme="minorEastAsia" w:eastAsiaTheme="minorEastAsia"/>
          <w:sz w:val="24"/>
          <w:u w:val="single"/>
        </w:rPr>
        <w:t>。</w:t>
      </w:r>
    </w:p>
    <w:p>
      <w:pPr>
        <w:spacing w:line="360" w:lineRule="auto"/>
        <w:ind w:firstLine="480" w:firstLineChars="200"/>
        <w:rPr>
          <w:rFonts w:asciiTheme="minorEastAsia" w:hAnsiTheme="minorEastAsia" w:eastAsiaTheme="minorEastAsia"/>
          <w:bCs/>
          <w:sz w:val="24"/>
          <w:shd w:val="clear" w:color="FFFFFF" w:fill="D9D9D9"/>
          <w:lang w:val="zh-CN"/>
        </w:rPr>
      </w:pPr>
      <w:r>
        <w:rPr>
          <w:rFonts w:hint="eastAsia" w:asciiTheme="minorEastAsia" w:hAnsiTheme="minorEastAsia" w:eastAsiaTheme="minorEastAsia"/>
          <w:sz w:val="24"/>
          <w:lang w:val="zh-CN"/>
        </w:rPr>
        <w:t>注：得分以系统计算为准，保留2位小数。</w:t>
      </w:r>
    </w:p>
    <w:p>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三、在最大限度地满足招标文件实质性要求前提下，评标委员会按照招标文件中规定的各项因素进行综合评审后，以评标总得分排名第一的投标人为</w:t>
      </w:r>
      <w:r>
        <w:rPr>
          <w:rFonts w:hint="eastAsia" w:asciiTheme="minorEastAsia" w:hAnsiTheme="minorEastAsia" w:eastAsiaTheme="minorEastAsia"/>
          <w:kern w:val="0"/>
          <w:sz w:val="24"/>
          <w:lang w:val="zh-CN"/>
        </w:rPr>
        <w:t>第一中标候选人，排名第二的投标人为第二中标候选人，并以此类推。</w:t>
      </w:r>
    </w:p>
    <w:p>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四、如综合得分相同，投标报价低者为先；如综合得分且投标报价相同的，以资信部分得分较高者为先。</w:t>
      </w:r>
    </w:p>
    <w:p>
      <w:pPr>
        <w:spacing w:line="360" w:lineRule="auto"/>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pStyle w:val="2"/>
        <w:rPr>
          <w:rFonts w:hint="default" w:eastAsiaTheme="minorEastAsia"/>
          <w:lang w:val="en-US" w:eastAsia="zh-CN"/>
        </w:rPr>
      </w:pPr>
      <w:r>
        <w:rPr>
          <w:rFonts w:hint="eastAsia" w:asciiTheme="minorEastAsia" w:hAnsiTheme="minorEastAsia" w:eastAsiaTheme="minorEastAsia"/>
          <w:sz w:val="24"/>
          <w:lang w:val="en-US" w:eastAsia="zh-CN"/>
        </w:rPr>
        <w:t xml:space="preserve">  六、评标委员会认为投标人的报价明显低于其他通过符合性审查投标人的报价，有可能影响产品质量或者不能诚信履约的，应当要求其在评标现场合理</w:t>
      </w:r>
    </w:p>
    <w:p>
      <w:pPr>
        <w:autoSpaceDE w:val="0"/>
        <w:autoSpaceDN w:val="0"/>
        <w:adjustRightInd w:val="0"/>
        <w:spacing w:line="360" w:lineRule="auto"/>
        <w:ind w:firstLine="360" w:firstLineChars="150"/>
        <w:jc w:val="left"/>
        <w:rPr>
          <w:rFonts w:asciiTheme="minorEastAsia" w:hAnsiTheme="minorEastAsia" w:eastAsiaTheme="minorEastAsia"/>
          <w:kern w:val="0"/>
          <w:sz w:val="24"/>
        </w:rPr>
      </w:pPr>
    </w:p>
    <w:p>
      <w:pPr>
        <w:autoSpaceDE w:val="0"/>
        <w:autoSpaceDN w:val="0"/>
        <w:adjustRightInd w:val="0"/>
        <w:spacing w:line="360" w:lineRule="auto"/>
        <w:jc w:val="left"/>
        <w:rPr>
          <w:rFonts w:asciiTheme="minorEastAsia" w:hAnsiTheme="minorEastAsia" w:eastAsiaTheme="minorEastAsia"/>
          <w:kern w:val="0"/>
          <w:sz w:val="24"/>
        </w:rPr>
      </w:pPr>
    </w:p>
    <w:p>
      <w:pPr>
        <w:autoSpaceDE w:val="0"/>
        <w:autoSpaceDN w:val="0"/>
        <w:adjustRightInd w:val="0"/>
        <w:spacing w:line="360" w:lineRule="auto"/>
        <w:ind w:firstLine="360" w:firstLineChars="150"/>
        <w:jc w:val="left"/>
        <w:rPr>
          <w:rFonts w:asciiTheme="minorEastAsia" w:hAnsiTheme="minorEastAsia" w:eastAsiaTheme="minorEastAsia"/>
          <w:kern w:val="0"/>
          <w:sz w:val="24"/>
        </w:rPr>
      </w:pPr>
      <w:r>
        <w:rPr>
          <w:rFonts w:hint="eastAsia" w:asciiTheme="minorEastAsia" w:hAnsiTheme="minorEastAsia" w:eastAsiaTheme="minorEastAsia"/>
          <w:kern w:val="0"/>
          <w:sz w:val="24"/>
        </w:rPr>
        <w:t>六、</w:t>
      </w:r>
      <w:r>
        <w:rPr>
          <w:rFonts w:hint="eastAsia" w:ascii="宋体"/>
          <w:bCs/>
          <w:sz w:val="24"/>
        </w:rPr>
        <w:t>商务与技术文件</w:t>
      </w:r>
      <w:r>
        <w:rPr>
          <w:rFonts w:hint="eastAsia" w:ascii="宋体"/>
          <w:bCs/>
          <w:sz w:val="24"/>
          <w:lang w:val="zh-CN"/>
        </w:rPr>
        <w:t>评审内容及标准</w:t>
      </w:r>
      <w:r>
        <w:rPr>
          <w:rFonts w:hint="eastAsia" w:asciiTheme="minorEastAsia" w:hAnsiTheme="minorEastAsia" w:eastAsiaTheme="minorEastAsia"/>
          <w:kern w:val="0"/>
          <w:sz w:val="24"/>
        </w:rPr>
        <w:t xml:space="preserve">： </w:t>
      </w:r>
    </w:p>
    <w:tbl>
      <w:tblPr>
        <w:tblStyle w:val="18"/>
        <w:tblW w:w="9646" w:type="dxa"/>
        <w:tblInd w:w="113" w:type="dxa"/>
        <w:tblLayout w:type="fixed"/>
        <w:tblCellMar>
          <w:top w:w="0" w:type="dxa"/>
          <w:left w:w="108" w:type="dxa"/>
          <w:bottom w:w="0" w:type="dxa"/>
          <w:right w:w="108" w:type="dxa"/>
        </w:tblCellMar>
      </w:tblPr>
      <w:tblGrid>
        <w:gridCol w:w="540"/>
        <w:gridCol w:w="1080"/>
        <w:gridCol w:w="7334"/>
        <w:gridCol w:w="692"/>
      </w:tblGrid>
      <w:tr>
        <w:tblPrEx>
          <w:tblLayout w:type="fixed"/>
          <w:tblCellMar>
            <w:top w:w="0" w:type="dxa"/>
            <w:left w:w="108" w:type="dxa"/>
            <w:bottom w:w="0" w:type="dxa"/>
            <w:right w:w="108" w:type="dxa"/>
          </w:tblCellMar>
        </w:tblPrEx>
        <w:trPr>
          <w:trHeight w:val="585"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序号</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指标项</w:t>
            </w:r>
          </w:p>
        </w:tc>
        <w:tc>
          <w:tcPr>
            <w:tcW w:w="73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指标要求</w:t>
            </w:r>
          </w:p>
        </w:tc>
        <w:tc>
          <w:tcPr>
            <w:tcW w:w="6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分值</w:t>
            </w:r>
          </w:p>
        </w:tc>
      </w:tr>
      <w:tr>
        <w:tblPrEx>
          <w:tblLayout w:type="fixed"/>
          <w:tblCellMar>
            <w:top w:w="0" w:type="dxa"/>
            <w:left w:w="108" w:type="dxa"/>
            <w:bottom w:w="0" w:type="dxa"/>
            <w:right w:w="108" w:type="dxa"/>
          </w:tblCellMar>
        </w:tblPrEx>
        <w:trPr>
          <w:trHeight w:val="540" w:hRule="atLeast"/>
        </w:trPr>
        <w:tc>
          <w:tcPr>
            <w:tcW w:w="5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1</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技术参数满足情况</w:t>
            </w:r>
          </w:p>
        </w:tc>
        <w:tc>
          <w:tcPr>
            <w:tcW w:w="733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18"/>
              </w:rPr>
            </w:pPr>
            <w:r>
              <w:rPr>
                <w:rFonts w:hint="eastAsia" w:ascii="宋体" w:hAnsi="宋体" w:eastAsia="宋体" w:cs="宋体"/>
                <w:color w:val="000000"/>
                <w:kern w:val="0"/>
                <w:sz w:val="20"/>
                <w:szCs w:val="18"/>
              </w:rPr>
              <w:t>根据投标人提供的设备及材料的品牌知名度、市场占有率、社会知名度情况打分；一档：8～6.1分；二档：6～3.1分；三档：3～0分（0-8分）</w:t>
            </w:r>
          </w:p>
        </w:tc>
        <w:tc>
          <w:tcPr>
            <w:tcW w:w="6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18"/>
              </w:rPr>
            </w:pPr>
            <w:r>
              <w:rPr>
                <w:rFonts w:ascii="宋体" w:hAnsi="宋体" w:eastAsia="宋体" w:cs="宋体"/>
                <w:color w:val="000000"/>
                <w:kern w:val="0"/>
                <w:sz w:val="20"/>
                <w:szCs w:val="18"/>
              </w:rPr>
              <w:t>8</w:t>
            </w:r>
          </w:p>
        </w:tc>
      </w:tr>
      <w:tr>
        <w:tblPrEx>
          <w:tblLayout w:type="fixed"/>
          <w:tblCellMar>
            <w:top w:w="0" w:type="dxa"/>
            <w:left w:w="108" w:type="dxa"/>
            <w:bottom w:w="0" w:type="dxa"/>
            <w:right w:w="108" w:type="dxa"/>
          </w:tblCellMar>
        </w:tblPrEx>
        <w:trPr>
          <w:trHeight w:val="73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18"/>
              </w:rPr>
            </w:pPr>
          </w:p>
        </w:tc>
        <w:tc>
          <w:tcPr>
            <w:tcW w:w="733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18"/>
              </w:rPr>
            </w:pPr>
            <w:r>
              <w:rPr>
                <w:rFonts w:hint="eastAsia" w:ascii="宋体" w:hAnsi="宋体" w:eastAsia="宋体" w:cs="宋体"/>
                <w:color w:val="000000"/>
                <w:kern w:val="0"/>
                <w:sz w:val="20"/>
                <w:szCs w:val="18"/>
              </w:rPr>
              <w:t>根据投标产品的硬件配置、整体性能、功能特点等满足情况，以及《技术响应表》情况评分，★标注的关键指标不允许负偏离；其它非实质性技术指标若出现负偏离的，每负偏离一项扣1分，扣完为止；</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1</w:t>
            </w:r>
            <w:r>
              <w:rPr>
                <w:rFonts w:ascii="宋体" w:hAnsi="宋体" w:eastAsia="宋体" w:cs="宋体"/>
                <w:color w:val="000000"/>
                <w:kern w:val="0"/>
                <w:sz w:val="20"/>
                <w:szCs w:val="18"/>
              </w:rPr>
              <w:t>0</w:t>
            </w:r>
          </w:p>
        </w:tc>
      </w:tr>
      <w:tr>
        <w:tblPrEx>
          <w:tblLayout w:type="fixed"/>
          <w:tblCellMar>
            <w:top w:w="0" w:type="dxa"/>
            <w:left w:w="108" w:type="dxa"/>
            <w:bottom w:w="0" w:type="dxa"/>
            <w:right w:w="108" w:type="dxa"/>
          </w:tblCellMar>
        </w:tblPrEx>
        <w:trPr>
          <w:trHeight w:val="61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18"/>
              </w:rPr>
            </w:pPr>
          </w:p>
        </w:tc>
        <w:tc>
          <w:tcPr>
            <w:tcW w:w="733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18"/>
              </w:rPr>
            </w:pPr>
            <w:r>
              <w:rPr>
                <w:rFonts w:hint="eastAsia" w:ascii="宋体" w:hAnsi="宋体" w:eastAsia="宋体" w:cs="宋体"/>
                <w:color w:val="000000"/>
                <w:kern w:val="0"/>
                <w:sz w:val="20"/>
                <w:szCs w:val="18"/>
              </w:rPr>
              <w:t>交换机产品需提供由权威检测机构出具的产品检测报告的得2分，少一份扣1分。提供设备生产厂家三年质保函1分，并加盖公章。</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3</w:t>
            </w:r>
          </w:p>
        </w:tc>
      </w:tr>
      <w:tr>
        <w:tblPrEx>
          <w:tblLayout w:type="fixed"/>
          <w:tblCellMar>
            <w:top w:w="0" w:type="dxa"/>
            <w:left w:w="108" w:type="dxa"/>
            <w:bottom w:w="0" w:type="dxa"/>
            <w:right w:w="108" w:type="dxa"/>
          </w:tblCellMar>
        </w:tblPrEx>
        <w:trPr>
          <w:trHeight w:val="73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18"/>
              </w:rPr>
            </w:pPr>
          </w:p>
        </w:tc>
        <w:tc>
          <w:tcPr>
            <w:tcW w:w="73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监控产品投标产品必须通过公安部相关检测中心的检测并有相应有效的检测报告3分，少一份扣1分；提供设备生产厂家三年质保函得1分，并加盖公章。</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4</w:t>
            </w:r>
          </w:p>
        </w:tc>
      </w:tr>
      <w:tr>
        <w:tblPrEx>
          <w:tblLayout w:type="fixed"/>
          <w:tblCellMar>
            <w:top w:w="0" w:type="dxa"/>
            <w:left w:w="108" w:type="dxa"/>
            <w:bottom w:w="0" w:type="dxa"/>
            <w:right w:w="108" w:type="dxa"/>
          </w:tblCellMar>
        </w:tblPrEx>
        <w:trPr>
          <w:trHeight w:val="43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18"/>
              </w:rPr>
            </w:pPr>
          </w:p>
        </w:tc>
        <w:tc>
          <w:tcPr>
            <w:tcW w:w="733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18"/>
              </w:rPr>
            </w:pPr>
            <w:r>
              <w:rPr>
                <w:rFonts w:hint="eastAsia" w:ascii="宋体" w:hAnsi="宋体" w:eastAsia="宋体" w:cs="宋体"/>
                <w:color w:val="auto"/>
                <w:kern w:val="0"/>
                <w:sz w:val="20"/>
                <w:szCs w:val="18"/>
              </w:rPr>
              <w:t>音频主要设备提供相关检测中心的检测并有相应有效的检测报告3分，少一份扣1分；音频产品需提供设备生产厂家三年质保函得1分，并加盖公章。</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ascii="宋体" w:hAnsi="宋体" w:eastAsia="宋体" w:cs="宋体"/>
                <w:color w:val="000000"/>
                <w:kern w:val="0"/>
                <w:sz w:val="20"/>
                <w:szCs w:val="18"/>
              </w:rPr>
              <w:t>4</w:t>
            </w:r>
          </w:p>
        </w:tc>
      </w:tr>
      <w:tr>
        <w:tblPrEx>
          <w:tblLayout w:type="fixed"/>
          <w:tblCellMar>
            <w:top w:w="0" w:type="dxa"/>
            <w:left w:w="108" w:type="dxa"/>
            <w:bottom w:w="0" w:type="dxa"/>
            <w:right w:w="108" w:type="dxa"/>
          </w:tblCellMar>
        </w:tblPrEx>
        <w:trPr>
          <w:trHeight w:val="43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18"/>
              </w:rPr>
            </w:pPr>
          </w:p>
        </w:tc>
        <w:tc>
          <w:tcPr>
            <w:tcW w:w="733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18"/>
              </w:rPr>
            </w:pPr>
            <w:r>
              <w:rPr>
                <w:rFonts w:hint="eastAsia" w:ascii="宋体" w:hAnsi="宋体" w:eastAsia="宋体" w:cs="宋体"/>
                <w:color w:val="000000"/>
                <w:kern w:val="0"/>
                <w:sz w:val="20"/>
                <w:szCs w:val="18"/>
              </w:rPr>
              <w:t>CBA专用显示屏系统产品需提供设备生产厂家三年质保函得1分，并加盖公章。</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1</w:t>
            </w:r>
          </w:p>
        </w:tc>
      </w:tr>
      <w:tr>
        <w:tblPrEx>
          <w:tblLayout w:type="fixed"/>
          <w:tblCellMar>
            <w:top w:w="0" w:type="dxa"/>
            <w:left w:w="108" w:type="dxa"/>
            <w:bottom w:w="0" w:type="dxa"/>
            <w:right w:w="108" w:type="dxa"/>
          </w:tblCellMar>
        </w:tblPrEx>
        <w:trPr>
          <w:trHeight w:val="73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需求的理解、技术方案等</w:t>
            </w:r>
          </w:p>
        </w:tc>
        <w:tc>
          <w:tcPr>
            <w:tcW w:w="733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18"/>
              </w:rPr>
            </w:pPr>
            <w:r>
              <w:rPr>
                <w:rFonts w:hint="eastAsia" w:ascii="宋体" w:hAnsi="宋体" w:eastAsia="宋体" w:cs="宋体"/>
                <w:color w:val="000000"/>
                <w:kern w:val="0"/>
                <w:sz w:val="20"/>
                <w:szCs w:val="18"/>
              </w:rPr>
              <w:t>根据投标人对本项目需求的理解，以及技术方案的完整性、合理性、先进性等综合比较评分，最高得3分；</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3</w:t>
            </w:r>
          </w:p>
        </w:tc>
      </w:tr>
      <w:tr>
        <w:tblPrEx>
          <w:tblLayout w:type="fixed"/>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项目组织实施方案</w:t>
            </w:r>
          </w:p>
        </w:tc>
        <w:tc>
          <w:tcPr>
            <w:tcW w:w="733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18"/>
              </w:rPr>
            </w:pPr>
            <w:r>
              <w:rPr>
                <w:rFonts w:hint="eastAsia" w:ascii="宋体" w:hAnsi="宋体" w:eastAsia="宋体" w:cs="宋体"/>
                <w:color w:val="000000"/>
                <w:kern w:val="0"/>
                <w:sz w:val="20"/>
                <w:szCs w:val="18"/>
              </w:rPr>
              <w:t>根据投标人项目组织实施方案的科学性、合理性等综合进行比较评分，最高得4分；</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4</w:t>
            </w:r>
          </w:p>
        </w:tc>
      </w:tr>
      <w:tr>
        <w:tblPrEx>
          <w:tblLayout w:type="fixed"/>
          <w:tblCellMar>
            <w:top w:w="0" w:type="dxa"/>
            <w:left w:w="108" w:type="dxa"/>
            <w:bottom w:w="0" w:type="dxa"/>
            <w:right w:w="108" w:type="dxa"/>
          </w:tblCellMar>
        </w:tblPrEx>
        <w:trPr>
          <w:trHeight w:val="600"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培训计划及维护能力</w:t>
            </w:r>
          </w:p>
        </w:tc>
        <w:tc>
          <w:tcPr>
            <w:tcW w:w="733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18"/>
              </w:rPr>
            </w:pPr>
            <w:r>
              <w:rPr>
                <w:rFonts w:hint="eastAsia" w:ascii="宋体" w:hAnsi="宋体" w:eastAsia="宋体" w:cs="宋体"/>
                <w:color w:val="000000"/>
                <w:kern w:val="0"/>
                <w:sz w:val="20"/>
                <w:szCs w:val="18"/>
              </w:rPr>
              <w:t>根据培训计划的完整性与可行性，质保期内外的后续技术支持和维护能力情况酌情评分，最高得3分；</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3</w:t>
            </w:r>
          </w:p>
        </w:tc>
      </w:tr>
      <w:tr>
        <w:tblPrEx>
          <w:tblLayout w:type="fixed"/>
          <w:tblCellMar>
            <w:top w:w="0" w:type="dxa"/>
            <w:left w:w="108" w:type="dxa"/>
            <w:bottom w:w="0" w:type="dxa"/>
            <w:right w:w="108" w:type="dxa"/>
          </w:tblCellMar>
        </w:tblPrEx>
        <w:trPr>
          <w:trHeight w:val="54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投标人业绩</w:t>
            </w:r>
          </w:p>
        </w:tc>
        <w:tc>
          <w:tcPr>
            <w:tcW w:w="733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18"/>
              </w:rPr>
            </w:pPr>
            <w:r>
              <w:rPr>
                <w:rFonts w:hint="eastAsia" w:ascii="宋体" w:hAnsi="宋体" w:eastAsia="宋体" w:cs="宋体"/>
                <w:color w:val="000000"/>
                <w:kern w:val="0"/>
                <w:sz w:val="20"/>
                <w:szCs w:val="18"/>
              </w:rPr>
              <w:t>投标人2016年1月1日以来具有楼宇智能化弱电系统集成类项目业绩，每个合同得1分，最高得2分；（合同是否有效由评标委员会专家审定，时间以合同签订时间为准，提供合同复印件加盖公章，合同原件备查）</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2</w:t>
            </w:r>
          </w:p>
        </w:tc>
      </w:tr>
      <w:tr>
        <w:tblPrEx>
          <w:tblLayout w:type="fixed"/>
          <w:tblCellMar>
            <w:top w:w="0" w:type="dxa"/>
            <w:left w:w="108" w:type="dxa"/>
            <w:bottom w:w="0" w:type="dxa"/>
            <w:right w:w="108" w:type="dxa"/>
          </w:tblCellMar>
        </w:tblPrEx>
        <w:trPr>
          <w:trHeight w:val="435" w:hRule="atLeast"/>
        </w:trPr>
        <w:tc>
          <w:tcPr>
            <w:tcW w:w="5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6</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企业资信</w:t>
            </w:r>
          </w:p>
        </w:tc>
        <w:tc>
          <w:tcPr>
            <w:tcW w:w="733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18"/>
              </w:rPr>
            </w:pPr>
            <w:r>
              <w:rPr>
                <w:rFonts w:hint="eastAsia" w:ascii="宋体" w:hAnsi="宋体" w:eastAsia="宋体" w:cs="宋体"/>
                <w:color w:val="000000"/>
                <w:kern w:val="0"/>
                <w:sz w:val="20"/>
                <w:szCs w:val="18"/>
              </w:rPr>
              <w:t>投标人具有3A信用等级证书的得2分，没有不得分。</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2</w:t>
            </w:r>
          </w:p>
        </w:tc>
      </w:tr>
      <w:tr>
        <w:tblPrEx>
          <w:tblLayout w:type="fixed"/>
          <w:tblCellMar>
            <w:top w:w="0" w:type="dxa"/>
            <w:left w:w="108" w:type="dxa"/>
            <w:bottom w:w="0" w:type="dxa"/>
            <w:right w:w="108" w:type="dxa"/>
          </w:tblCellMar>
        </w:tblPrEx>
        <w:trPr>
          <w:trHeight w:val="78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18"/>
              </w:rPr>
            </w:pPr>
          </w:p>
        </w:tc>
        <w:tc>
          <w:tcPr>
            <w:tcW w:w="733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18"/>
              </w:rPr>
            </w:pPr>
            <w:r>
              <w:rPr>
                <w:rFonts w:hint="eastAsia" w:ascii="宋体" w:hAnsi="宋体" w:eastAsia="宋体" w:cs="宋体"/>
                <w:color w:val="000000"/>
                <w:kern w:val="0"/>
                <w:sz w:val="20"/>
                <w:szCs w:val="18"/>
              </w:rPr>
              <w:t>投标人具有安全生产许可证得1分。没有不得分；投标人具有浙江省安全技术防范行业资信等级贰级资质的得1分，具有壹级资质的得2分；投标人具有国家信息安全测评信息安全服务资质证书贰级的得1分，具有壹级资质的得2分，</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5</w:t>
            </w:r>
          </w:p>
        </w:tc>
      </w:tr>
      <w:tr>
        <w:tblPrEx>
          <w:tblLayout w:type="fixed"/>
          <w:tblCellMar>
            <w:top w:w="0" w:type="dxa"/>
            <w:left w:w="108" w:type="dxa"/>
            <w:bottom w:w="0" w:type="dxa"/>
            <w:right w:w="108" w:type="dxa"/>
          </w:tblCellMar>
        </w:tblPrEx>
        <w:trPr>
          <w:trHeight w:val="67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18"/>
              </w:rPr>
            </w:pPr>
          </w:p>
        </w:tc>
        <w:tc>
          <w:tcPr>
            <w:tcW w:w="733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18"/>
              </w:rPr>
            </w:pPr>
            <w:r>
              <w:rPr>
                <w:rFonts w:hint="eastAsia" w:ascii="宋体" w:hAnsi="宋体" w:eastAsia="宋体" w:cs="宋体"/>
                <w:color w:val="000000"/>
                <w:kern w:val="0"/>
                <w:sz w:val="20"/>
                <w:szCs w:val="18"/>
              </w:rPr>
              <w:t>投标人具有计算机信息系统集成贰级资质的得1分，具有壹级资质的得2分，其他不得分；；投标人具有在有效期内的音视频集成工程企业资质壹级的得2分,贰级得1分，不具备不得分。</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4</w:t>
            </w:r>
          </w:p>
        </w:tc>
      </w:tr>
      <w:tr>
        <w:tblPrEx>
          <w:tblLayout w:type="fixed"/>
          <w:tblCellMar>
            <w:top w:w="0" w:type="dxa"/>
            <w:left w:w="108" w:type="dxa"/>
            <w:bottom w:w="0" w:type="dxa"/>
            <w:right w:w="108" w:type="dxa"/>
          </w:tblCellMar>
        </w:tblPrEx>
        <w:trPr>
          <w:trHeight w:val="34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18"/>
              </w:rPr>
            </w:pPr>
          </w:p>
        </w:tc>
        <w:tc>
          <w:tcPr>
            <w:tcW w:w="733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18"/>
              </w:rPr>
            </w:pPr>
            <w:r>
              <w:rPr>
                <w:rFonts w:hint="eastAsia" w:ascii="宋体" w:hAnsi="宋体" w:eastAsia="宋体" w:cs="宋体"/>
                <w:color w:val="000000"/>
                <w:kern w:val="0"/>
                <w:sz w:val="20"/>
                <w:szCs w:val="18"/>
              </w:rPr>
              <w:t>投标人具有ITSS信息技术服务运行维护标准证书的得2分；</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2</w:t>
            </w:r>
          </w:p>
        </w:tc>
      </w:tr>
      <w:tr>
        <w:tblPrEx>
          <w:tblLayout w:type="fixed"/>
          <w:tblCellMar>
            <w:top w:w="0" w:type="dxa"/>
            <w:left w:w="108" w:type="dxa"/>
            <w:bottom w:w="0" w:type="dxa"/>
            <w:right w:w="108" w:type="dxa"/>
          </w:tblCellMar>
        </w:tblPrEx>
        <w:trPr>
          <w:trHeight w:val="76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18"/>
              </w:rPr>
            </w:pPr>
          </w:p>
        </w:tc>
        <w:tc>
          <w:tcPr>
            <w:tcW w:w="733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18"/>
              </w:rPr>
            </w:pPr>
            <w:r>
              <w:rPr>
                <w:rFonts w:hint="eastAsia" w:ascii="宋体" w:hAnsi="宋体" w:eastAsia="宋体" w:cs="宋体"/>
                <w:color w:val="000000"/>
                <w:kern w:val="0"/>
                <w:sz w:val="20"/>
                <w:szCs w:val="18"/>
              </w:rPr>
              <w:t>投标人通过ISO9001质量管理体系认证（范围仅限建筑智能化设计施工及服务）的得2分，通过ISO14000环境体系认证（范围仅限系统集成及软件开发）的得2分，通过ISO/IEC27001：2013管理体系认证证书得2分，提供相关证明材料复印件；</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6</w:t>
            </w:r>
          </w:p>
        </w:tc>
      </w:tr>
      <w:tr>
        <w:tblPrEx>
          <w:tblLayout w:type="fixed"/>
          <w:tblCellMar>
            <w:top w:w="0" w:type="dxa"/>
            <w:left w:w="108" w:type="dxa"/>
            <w:bottom w:w="0" w:type="dxa"/>
            <w:right w:w="108" w:type="dxa"/>
          </w:tblCellMar>
        </w:tblPrEx>
        <w:trPr>
          <w:trHeight w:val="45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18"/>
              </w:rPr>
            </w:pPr>
          </w:p>
        </w:tc>
        <w:tc>
          <w:tcPr>
            <w:tcW w:w="733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18"/>
              </w:rPr>
            </w:pPr>
            <w:r>
              <w:rPr>
                <w:rFonts w:hint="eastAsia" w:ascii="宋体" w:hAnsi="宋体" w:eastAsia="宋体" w:cs="宋体"/>
                <w:color w:val="000000"/>
                <w:kern w:val="0"/>
                <w:sz w:val="20"/>
                <w:szCs w:val="18"/>
              </w:rPr>
              <w:t>投标人具有CMMI4及以上级别证书的得1分，具有CMMI5及以上级别证书的得2分，其他不得分；</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2</w:t>
            </w:r>
          </w:p>
        </w:tc>
      </w:tr>
      <w:tr>
        <w:tblPrEx>
          <w:tblLayout w:type="fixed"/>
          <w:tblCellMar>
            <w:top w:w="0" w:type="dxa"/>
            <w:left w:w="108" w:type="dxa"/>
            <w:bottom w:w="0" w:type="dxa"/>
            <w:right w:w="108" w:type="dxa"/>
          </w:tblCellMar>
        </w:tblPrEx>
        <w:trPr>
          <w:trHeight w:val="855" w:hRule="atLeast"/>
        </w:trPr>
        <w:tc>
          <w:tcPr>
            <w:tcW w:w="5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7</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售后服务及技术团队</w:t>
            </w:r>
          </w:p>
        </w:tc>
        <w:tc>
          <w:tcPr>
            <w:tcW w:w="733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18"/>
              </w:rPr>
            </w:pPr>
            <w:r>
              <w:rPr>
                <w:rFonts w:hint="eastAsia" w:ascii="宋体" w:hAnsi="宋体" w:eastAsia="宋体" w:cs="宋体"/>
                <w:color w:val="000000"/>
                <w:kern w:val="0"/>
                <w:sz w:val="20"/>
                <w:szCs w:val="18"/>
              </w:rPr>
              <w:t>投标人具有台州市当地工商部门登记的公司、分公司，能够提供长期的本地化服务机构得2分，投标人具有浙江省工商部门登记的公司、分公司的得1分，其余不得分；（提供详细的分公司全称、营业执照或工商登记证明、联系人、联系方式等）</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2</w:t>
            </w:r>
          </w:p>
        </w:tc>
      </w:tr>
      <w:tr>
        <w:tblPrEx>
          <w:tblLayout w:type="fixed"/>
          <w:tblCellMar>
            <w:top w:w="0" w:type="dxa"/>
            <w:left w:w="108" w:type="dxa"/>
            <w:bottom w:w="0" w:type="dxa"/>
            <w:right w:w="108" w:type="dxa"/>
          </w:tblCellMar>
        </w:tblPrEx>
        <w:trPr>
          <w:trHeight w:val="67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18"/>
              </w:rPr>
            </w:pPr>
          </w:p>
        </w:tc>
        <w:tc>
          <w:tcPr>
            <w:tcW w:w="733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18"/>
              </w:rPr>
            </w:pPr>
            <w:r>
              <w:rPr>
                <w:rFonts w:hint="eastAsia" w:ascii="宋体" w:hAnsi="宋体" w:eastAsia="宋体" w:cs="宋体"/>
                <w:color w:val="000000"/>
                <w:kern w:val="0"/>
                <w:sz w:val="20"/>
                <w:szCs w:val="18"/>
              </w:rPr>
              <w:t>投标单位项目经理同时具有PMP证书和工信部颁发的高级项目经理认证证书及本单位社保证明，全部满足得1分；具备1名注册信息安全管理人员证书CISP证书的得1分，其他不得分；</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2</w:t>
            </w:r>
          </w:p>
        </w:tc>
      </w:tr>
      <w:tr>
        <w:tblPrEx>
          <w:tblLayout w:type="fixed"/>
          <w:tblCellMar>
            <w:top w:w="0" w:type="dxa"/>
            <w:left w:w="108" w:type="dxa"/>
            <w:bottom w:w="0" w:type="dxa"/>
            <w:right w:w="108" w:type="dxa"/>
          </w:tblCellMar>
        </w:tblPrEx>
        <w:trPr>
          <w:trHeight w:val="73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标书质量</w:t>
            </w:r>
          </w:p>
        </w:tc>
        <w:tc>
          <w:tcPr>
            <w:tcW w:w="733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18"/>
              </w:rPr>
            </w:pPr>
            <w:r>
              <w:rPr>
                <w:rFonts w:hint="eastAsia" w:ascii="宋体" w:hAnsi="宋体" w:eastAsia="宋体" w:cs="宋体"/>
                <w:color w:val="000000"/>
                <w:kern w:val="0"/>
                <w:sz w:val="20"/>
                <w:szCs w:val="18"/>
              </w:rPr>
              <w:t>根据投标文件编制完整性、格式是否规范、装订是否整齐、符合招标文件要求程度等酌情评分，最高得2分。</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2</w:t>
            </w:r>
          </w:p>
        </w:tc>
      </w:tr>
    </w:tbl>
    <w:p>
      <w:pPr>
        <w:pStyle w:val="2"/>
        <w:rPr>
          <w:rFonts w:ascii="宋体" w:hAnsi="宋体" w:cs="宋体"/>
          <w:kern w:val="0"/>
        </w:rPr>
      </w:pPr>
    </w:p>
    <w:p>
      <w:pPr>
        <w:rPr>
          <w:rFonts w:hint="eastAsia"/>
        </w:rPr>
      </w:pPr>
    </w:p>
    <w:p>
      <w:pPr>
        <w:pStyle w:val="2"/>
        <w:rPr>
          <w:rFonts w:hint="eastAsia"/>
        </w:rPr>
      </w:pPr>
    </w:p>
    <w:p>
      <w:pPr>
        <w:widowControl/>
        <w:jc w:val="left"/>
        <w:rPr>
          <w:sz w:val="24"/>
        </w:rPr>
      </w:pPr>
      <w:r>
        <w:br w:type="page"/>
      </w:r>
    </w:p>
    <w:p>
      <w:pPr>
        <w:pStyle w:val="3"/>
        <w:jc w:val="center"/>
      </w:pPr>
      <w:bookmarkStart w:id="40" w:name="_Toc19880426"/>
      <w:r>
        <w:rPr>
          <w:rFonts w:hint="eastAsia"/>
        </w:rPr>
        <w:t>第四章</w:t>
      </w:r>
      <w:bookmarkEnd w:id="40"/>
      <w:r>
        <w:rPr>
          <w:rFonts w:hint="eastAsia"/>
        </w:rPr>
        <w:t>项目需求</w:t>
      </w:r>
    </w:p>
    <w:p>
      <w:pPr>
        <w:pStyle w:val="4"/>
      </w:pPr>
      <w:bookmarkStart w:id="41" w:name="_Toc17818391"/>
      <w:r>
        <w:rPr>
          <w:rFonts w:hint="eastAsia"/>
        </w:rPr>
        <w:t>一、项目概况：</w:t>
      </w:r>
      <w:bookmarkEnd w:id="41"/>
    </w:p>
    <w:p>
      <w:pPr>
        <w:snapToGrid w:val="0"/>
        <w:spacing w:line="360" w:lineRule="auto"/>
        <w:ind w:firstLine="499" w:firstLineChars="208"/>
        <w:rPr>
          <w:rFonts w:ascii="宋体" w:hAnsi="宋体"/>
          <w:b/>
          <w:sz w:val="24"/>
        </w:rPr>
      </w:pPr>
      <w:r>
        <w:rPr>
          <w:rFonts w:hint="eastAsia" w:ascii="宋体" w:hAnsi="宋体" w:cs="宋体"/>
          <w:kern w:val="0"/>
          <w:sz w:val="24"/>
        </w:rPr>
        <w:t>1.</w:t>
      </w:r>
      <w:bookmarkStart w:id="42" w:name="_Toc419377987"/>
      <w:r>
        <w:rPr>
          <w:rFonts w:hint="eastAsia" w:ascii="宋体" w:hAnsi="宋体" w:cs="宋体"/>
          <w:kern w:val="0"/>
          <w:sz w:val="24"/>
        </w:rPr>
        <w:t>设计标准</w:t>
      </w:r>
      <w:bookmarkEnd w:id="42"/>
    </w:p>
    <w:p>
      <w:pPr>
        <w:spacing w:line="360" w:lineRule="auto"/>
        <w:ind w:firstLine="480" w:firstLineChars="200"/>
        <w:rPr>
          <w:rFonts w:ascii="宋体" w:hAnsi="宋体"/>
          <w:sz w:val="24"/>
        </w:rPr>
      </w:pPr>
      <w:r>
        <w:rPr>
          <w:rFonts w:hint="eastAsia" w:ascii="宋体" w:hAnsi="宋体"/>
          <w:sz w:val="24"/>
        </w:rPr>
        <w:t>国网三门县供电公司物流中心标准化仓库弱电及排烟系统改造项目根据国家标准、行业标准要求设计，所引用的标准包括：</w:t>
      </w:r>
    </w:p>
    <w:p>
      <w:pPr>
        <w:spacing w:line="360" w:lineRule="auto"/>
        <w:rPr>
          <w:rFonts w:ascii="宋体" w:hAnsi="宋体"/>
          <w:sz w:val="24"/>
        </w:rPr>
      </w:pPr>
      <w:r>
        <w:rPr>
          <w:rFonts w:hint="eastAsia" w:ascii="宋体" w:hAnsi="宋体"/>
          <w:sz w:val="24"/>
        </w:rPr>
        <w:t>《智能建筑设计标准》 GB/T50314-2006</w:t>
      </w:r>
    </w:p>
    <w:p>
      <w:pPr>
        <w:spacing w:line="360" w:lineRule="auto"/>
        <w:rPr>
          <w:rFonts w:ascii="宋体" w:hAnsi="宋体"/>
          <w:sz w:val="24"/>
        </w:rPr>
      </w:pPr>
      <w:r>
        <w:rPr>
          <w:rFonts w:hint="eastAsia" w:ascii="宋体" w:hAnsi="宋体"/>
          <w:sz w:val="24"/>
        </w:rPr>
        <w:t>《智能建筑工程质量验收规范》GB50339-2003</w:t>
      </w:r>
    </w:p>
    <w:p>
      <w:pPr>
        <w:spacing w:line="360" w:lineRule="auto"/>
        <w:rPr>
          <w:rFonts w:ascii="宋体" w:hAnsi="宋体"/>
          <w:sz w:val="24"/>
        </w:rPr>
      </w:pPr>
      <w:r>
        <w:rPr>
          <w:rFonts w:hint="eastAsia" w:ascii="宋体" w:hAnsi="宋体"/>
          <w:sz w:val="24"/>
        </w:rPr>
        <w:t>《电子信息系统机房设计规范》 GB50174-2008</w:t>
      </w:r>
    </w:p>
    <w:p>
      <w:pPr>
        <w:spacing w:line="360" w:lineRule="auto"/>
        <w:rPr>
          <w:rFonts w:ascii="宋体" w:hAnsi="宋体"/>
          <w:sz w:val="24"/>
        </w:rPr>
      </w:pPr>
      <w:r>
        <w:rPr>
          <w:rFonts w:hint="eastAsia" w:ascii="宋体" w:hAnsi="宋体"/>
          <w:sz w:val="24"/>
        </w:rPr>
        <w:t>《电子信息系统机房施工及验收规范》 GB50462-2008</w:t>
      </w:r>
    </w:p>
    <w:p>
      <w:pPr>
        <w:spacing w:line="360" w:lineRule="auto"/>
        <w:rPr>
          <w:rFonts w:ascii="宋体" w:hAnsi="宋体"/>
          <w:sz w:val="24"/>
        </w:rPr>
      </w:pPr>
      <w:r>
        <w:rPr>
          <w:rFonts w:hint="eastAsia" w:ascii="宋体" w:hAnsi="宋体"/>
          <w:sz w:val="24"/>
        </w:rPr>
        <w:t>《电子计算机机房场地通用规范》 GB2887-2000</w:t>
      </w:r>
    </w:p>
    <w:p>
      <w:pPr>
        <w:spacing w:line="360" w:lineRule="auto"/>
        <w:rPr>
          <w:rFonts w:ascii="宋体" w:hAnsi="宋体"/>
          <w:sz w:val="24"/>
        </w:rPr>
      </w:pPr>
      <w:r>
        <w:rPr>
          <w:rFonts w:hint="eastAsia" w:ascii="宋体" w:hAnsi="宋体"/>
          <w:sz w:val="24"/>
        </w:rPr>
        <w:t>《信息技术设备的安全》GB4943－2001</w:t>
      </w:r>
    </w:p>
    <w:p>
      <w:pPr>
        <w:spacing w:line="360" w:lineRule="auto"/>
        <w:rPr>
          <w:rFonts w:ascii="宋体" w:hAnsi="宋体"/>
          <w:sz w:val="24"/>
        </w:rPr>
      </w:pPr>
      <w:r>
        <w:rPr>
          <w:rFonts w:hint="eastAsia" w:ascii="宋体" w:hAnsi="宋体"/>
          <w:sz w:val="24"/>
        </w:rPr>
        <w:t>《建筑装饰工程施工及验收规范》GB50210-2001</w:t>
      </w:r>
    </w:p>
    <w:p>
      <w:pPr>
        <w:spacing w:line="360" w:lineRule="auto"/>
        <w:rPr>
          <w:rFonts w:ascii="宋体" w:hAnsi="宋体"/>
          <w:sz w:val="24"/>
        </w:rPr>
      </w:pPr>
      <w:r>
        <w:rPr>
          <w:rFonts w:hint="eastAsia" w:ascii="宋体" w:hAnsi="宋体"/>
          <w:sz w:val="24"/>
        </w:rPr>
        <w:t>《计算机机房用活动地板技术条件》 GB6650-86</w:t>
      </w:r>
    </w:p>
    <w:p>
      <w:pPr>
        <w:spacing w:line="360" w:lineRule="auto"/>
        <w:rPr>
          <w:rFonts w:ascii="宋体" w:hAnsi="宋体"/>
          <w:sz w:val="24"/>
        </w:rPr>
      </w:pPr>
      <w:r>
        <w:rPr>
          <w:rFonts w:hint="eastAsia" w:ascii="宋体" w:hAnsi="宋体"/>
          <w:sz w:val="24"/>
        </w:rPr>
        <w:t>《民用建筑电气设计规范》 JGJ/T16-92</w:t>
      </w:r>
    </w:p>
    <w:p>
      <w:pPr>
        <w:spacing w:line="360" w:lineRule="auto"/>
        <w:rPr>
          <w:rFonts w:ascii="宋体" w:hAnsi="宋体"/>
          <w:sz w:val="24"/>
        </w:rPr>
      </w:pPr>
      <w:r>
        <w:rPr>
          <w:rFonts w:hint="eastAsia" w:ascii="宋体" w:hAnsi="宋体"/>
          <w:sz w:val="24"/>
        </w:rPr>
        <w:t>《民用建筑照明设计规范》 GBJ133-90</w:t>
      </w:r>
    </w:p>
    <w:p>
      <w:pPr>
        <w:spacing w:line="360" w:lineRule="auto"/>
        <w:rPr>
          <w:rFonts w:ascii="宋体" w:hAnsi="宋体"/>
          <w:sz w:val="24"/>
        </w:rPr>
      </w:pPr>
      <w:r>
        <w:rPr>
          <w:rFonts w:hint="eastAsia" w:ascii="宋体" w:hAnsi="宋体"/>
          <w:sz w:val="24"/>
        </w:rPr>
        <w:t>《建筑物防雷设计规范》 GB50057-94</w:t>
      </w:r>
    </w:p>
    <w:p>
      <w:pPr>
        <w:spacing w:line="360" w:lineRule="auto"/>
        <w:rPr>
          <w:rFonts w:ascii="宋体" w:hAnsi="宋体"/>
          <w:sz w:val="24"/>
        </w:rPr>
      </w:pPr>
      <w:r>
        <w:rPr>
          <w:rFonts w:hint="eastAsia" w:ascii="宋体" w:hAnsi="宋体"/>
          <w:sz w:val="24"/>
        </w:rPr>
        <w:t>《建筑物电子信息系统防雷技术规范》GB50343-2004</w:t>
      </w:r>
    </w:p>
    <w:p>
      <w:pPr>
        <w:spacing w:line="360" w:lineRule="auto"/>
        <w:rPr>
          <w:rFonts w:ascii="宋体" w:hAnsi="宋体"/>
          <w:sz w:val="24"/>
        </w:rPr>
      </w:pPr>
      <w:r>
        <w:rPr>
          <w:rFonts w:hint="eastAsia" w:ascii="宋体" w:hAnsi="宋体"/>
          <w:sz w:val="24"/>
        </w:rPr>
        <w:t>《电气装置安装工程施工及验收规范》GB50254-96</w:t>
      </w:r>
    </w:p>
    <w:p>
      <w:pPr>
        <w:spacing w:line="360" w:lineRule="auto"/>
        <w:rPr>
          <w:rFonts w:ascii="宋体" w:hAnsi="宋体"/>
          <w:sz w:val="24"/>
        </w:rPr>
      </w:pPr>
      <w:r>
        <w:rPr>
          <w:rFonts w:hint="eastAsia" w:ascii="宋体" w:hAnsi="宋体"/>
          <w:sz w:val="24"/>
        </w:rPr>
        <w:t>《电气装置安装工程施工及验收规范》GB50255-96</w:t>
      </w:r>
    </w:p>
    <w:p>
      <w:pPr>
        <w:spacing w:line="360" w:lineRule="auto"/>
        <w:rPr>
          <w:rFonts w:ascii="宋体" w:hAnsi="宋体"/>
          <w:sz w:val="24"/>
        </w:rPr>
      </w:pPr>
      <w:r>
        <w:rPr>
          <w:rFonts w:hint="eastAsia" w:ascii="宋体" w:hAnsi="宋体"/>
          <w:sz w:val="24"/>
        </w:rPr>
        <w:t>《电气装置安装工程施工及验收规范》GB50256-96</w:t>
      </w:r>
    </w:p>
    <w:p>
      <w:pPr>
        <w:spacing w:line="360" w:lineRule="auto"/>
        <w:rPr>
          <w:rFonts w:ascii="宋体" w:hAnsi="宋体"/>
          <w:sz w:val="24"/>
        </w:rPr>
      </w:pPr>
      <w:r>
        <w:rPr>
          <w:rFonts w:hint="eastAsia" w:ascii="宋体" w:hAnsi="宋体"/>
          <w:sz w:val="24"/>
        </w:rPr>
        <w:t>《电气装置安装工程施工及验收规范》GB50257-96</w:t>
      </w:r>
    </w:p>
    <w:p>
      <w:pPr>
        <w:spacing w:line="360" w:lineRule="auto"/>
        <w:rPr>
          <w:rFonts w:ascii="宋体" w:hAnsi="宋体"/>
          <w:sz w:val="24"/>
        </w:rPr>
      </w:pPr>
      <w:r>
        <w:rPr>
          <w:rFonts w:hint="eastAsia" w:ascii="宋体" w:hAnsi="宋体"/>
          <w:sz w:val="24"/>
        </w:rPr>
        <w:t>《电气装置安装工程施工及验收规范》GB50258-96</w:t>
      </w:r>
    </w:p>
    <w:p>
      <w:pPr>
        <w:spacing w:line="360" w:lineRule="auto"/>
        <w:rPr>
          <w:rFonts w:ascii="宋体" w:hAnsi="宋体"/>
          <w:sz w:val="24"/>
        </w:rPr>
      </w:pPr>
      <w:r>
        <w:rPr>
          <w:rFonts w:hint="eastAsia" w:ascii="宋体" w:hAnsi="宋体"/>
          <w:sz w:val="24"/>
        </w:rPr>
        <w:t>《电气装置安装工程施工及验收规范》GB50259-96</w:t>
      </w:r>
    </w:p>
    <w:p>
      <w:pPr>
        <w:spacing w:line="360" w:lineRule="auto"/>
        <w:rPr>
          <w:rFonts w:ascii="宋体" w:hAnsi="宋体"/>
          <w:sz w:val="24"/>
        </w:rPr>
      </w:pPr>
      <w:r>
        <w:rPr>
          <w:rFonts w:hint="eastAsia" w:ascii="宋体" w:hAnsi="宋体"/>
          <w:sz w:val="24"/>
        </w:rPr>
        <w:t>《电气装置安装工程盘、柜及二次回路结线施工及验收规范》GB50171-92</w:t>
      </w:r>
    </w:p>
    <w:p>
      <w:pPr>
        <w:spacing w:line="360" w:lineRule="auto"/>
        <w:rPr>
          <w:rFonts w:ascii="宋体" w:hAnsi="宋体"/>
          <w:sz w:val="24"/>
        </w:rPr>
      </w:pPr>
      <w:r>
        <w:rPr>
          <w:rFonts w:hint="eastAsia" w:ascii="宋体" w:hAnsi="宋体"/>
          <w:sz w:val="24"/>
        </w:rPr>
        <w:t>《电气装置安装工程电缆线路施工及验收规范》 GB50168-92</w:t>
      </w:r>
    </w:p>
    <w:p>
      <w:pPr>
        <w:spacing w:line="360" w:lineRule="auto"/>
        <w:rPr>
          <w:rFonts w:ascii="宋体" w:hAnsi="宋体"/>
          <w:sz w:val="24"/>
        </w:rPr>
      </w:pPr>
      <w:r>
        <w:rPr>
          <w:rFonts w:hint="eastAsia" w:ascii="宋体" w:hAnsi="宋体"/>
          <w:sz w:val="24"/>
        </w:rPr>
        <w:t>《电气装置安装工程接地装置施工及验收规范》 GB50169-92</w:t>
      </w:r>
    </w:p>
    <w:p>
      <w:pPr>
        <w:spacing w:line="360" w:lineRule="auto"/>
        <w:rPr>
          <w:rFonts w:ascii="宋体" w:hAnsi="宋体"/>
          <w:sz w:val="24"/>
        </w:rPr>
      </w:pPr>
      <w:r>
        <w:rPr>
          <w:rFonts w:hint="eastAsia" w:ascii="宋体" w:hAnsi="宋体"/>
          <w:sz w:val="24"/>
        </w:rPr>
        <w:t>《综合布线系统工程设计规范》  GB50311-2007</w:t>
      </w:r>
    </w:p>
    <w:p>
      <w:pPr>
        <w:spacing w:line="360" w:lineRule="auto"/>
        <w:rPr>
          <w:rFonts w:ascii="宋体" w:hAnsi="宋体"/>
          <w:sz w:val="24"/>
        </w:rPr>
      </w:pPr>
      <w:r>
        <w:rPr>
          <w:rFonts w:hint="eastAsia" w:ascii="宋体" w:hAnsi="宋体"/>
          <w:sz w:val="24"/>
        </w:rPr>
        <w:t>《综合布线系统工程验收规范》 GB/T 50312-2007</w:t>
      </w:r>
    </w:p>
    <w:p>
      <w:pPr>
        <w:spacing w:line="360" w:lineRule="auto"/>
        <w:rPr>
          <w:rFonts w:ascii="宋体" w:hAnsi="宋体"/>
          <w:sz w:val="24"/>
        </w:rPr>
      </w:pPr>
      <w:r>
        <w:rPr>
          <w:rFonts w:hint="eastAsia" w:ascii="宋体" w:hAnsi="宋体"/>
          <w:sz w:val="24"/>
        </w:rPr>
        <w:t>《通讯机房静电防护通则》 YD/T 754-95</w:t>
      </w:r>
    </w:p>
    <w:p>
      <w:pPr>
        <w:spacing w:line="360" w:lineRule="auto"/>
        <w:rPr>
          <w:rFonts w:ascii="宋体" w:hAnsi="宋体"/>
          <w:sz w:val="24"/>
        </w:rPr>
      </w:pPr>
      <w:r>
        <w:rPr>
          <w:rFonts w:hint="eastAsia" w:ascii="宋体" w:hAnsi="宋体"/>
          <w:sz w:val="24"/>
        </w:rPr>
        <w:t>《环境电磁卫生标准》 GB5175-88</w:t>
      </w:r>
    </w:p>
    <w:p>
      <w:pPr>
        <w:spacing w:line="360" w:lineRule="auto"/>
        <w:rPr>
          <w:rFonts w:ascii="宋体" w:hAnsi="宋体"/>
          <w:sz w:val="24"/>
        </w:rPr>
      </w:pPr>
      <w:r>
        <w:rPr>
          <w:rFonts w:hint="eastAsia" w:ascii="宋体" w:hAnsi="宋体"/>
          <w:sz w:val="24"/>
        </w:rPr>
        <w:t>《电磁辐射防护规定》 GB8702-88</w:t>
      </w:r>
    </w:p>
    <w:p>
      <w:pPr>
        <w:spacing w:line="360" w:lineRule="auto"/>
        <w:rPr>
          <w:rFonts w:ascii="宋体" w:hAnsi="宋体"/>
          <w:sz w:val="24"/>
        </w:rPr>
      </w:pPr>
      <w:r>
        <w:rPr>
          <w:rFonts w:hint="eastAsia" w:ascii="宋体" w:hAnsi="宋体"/>
          <w:sz w:val="24"/>
        </w:rPr>
        <w:t>《民用闭路监视电视系统工程技术规范》GB198-94</w:t>
      </w:r>
    </w:p>
    <w:p>
      <w:pPr>
        <w:spacing w:line="360" w:lineRule="auto"/>
        <w:rPr>
          <w:rFonts w:ascii="宋体" w:hAnsi="宋体"/>
          <w:sz w:val="24"/>
        </w:rPr>
      </w:pPr>
      <w:r>
        <w:rPr>
          <w:rFonts w:hint="eastAsia" w:ascii="宋体" w:hAnsi="宋体"/>
          <w:sz w:val="24"/>
        </w:rPr>
        <w:t>《通风和空调工程施工及验收规范》 GB50243-2002</w:t>
      </w:r>
    </w:p>
    <w:p>
      <w:pPr>
        <w:spacing w:line="360" w:lineRule="auto"/>
        <w:rPr>
          <w:rFonts w:ascii="宋体" w:hAnsi="宋体"/>
          <w:sz w:val="24"/>
        </w:rPr>
      </w:pPr>
      <w:r>
        <w:rPr>
          <w:rFonts w:hint="eastAsia" w:ascii="宋体" w:hAnsi="宋体"/>
          <w:sz w:val="24"/>
        </w:rPr>
        <w:t>《建筑内部装修设计防火规范》GB50222-95</w:t>
      </w:r>
    </w:p>
    <w:p>
      <w:pPr>
        <w:spacing w:line="360" w:lineRule="auto"/>
        <w:rPr>
          <w:rFonts w:ascii="宋体" w:hAnsi="宋体"/>
          <w:sz w:val="24"/>
        </w:rPr>
      </w:pPr>
      <w:r>
        <w:rPr>
          <w:rFonts w:hint="eastAsia" w:ascii="宋体" w:hAnsi="宋体"/>
          <w:sz w:val="24"/>
        </w:rPr>
        <w:t>《火灾自动报警系统设计规范》 GB50261-98等</w:t>
      </w:r>
    </w:p>
    <w:p>
      <w:pPr>
        <w:snapToGrid w:val="0"/>
        <w:spacing w:line="360" w:lineRule="auto"/>
        <w:ind w:firstLine="499" w:firstLineChars="208"/>
        <w:rPr>
          <w:rFonts w:ascii="宋体" w:hAnsi="宋体" w:cs="宋体"/>
          <w:kern w:val="0"/>
          <w:sz w:val="24"/>
        </w:rPr>
      </w:pPr>
      <w:r>
        <w:rPr>
          <w:rFonts w:hint="eastAsia" w:ascii="宋体" w:hAnsi="宋体" w:cs="宋体"/>
          <w:kern w:val="0"/>
          <w:sz w:val="24"/>
        </w:rPr>
        <w:t>2.本项目涉及工程范围</w:t>
      </w:r>
    </w:p>
    <w:p>
      <w:pPr>
        <w:numPr>
          <w:ilvl w:val="0"/>
          <w:numId w:val="3"/>
        </w:numPr>
        <w:tabs>
          <w:tab w:val="left" w:pos="6"/>
        </w:tabs>
        <w:autoSpaceDE w:val="0"/>
        <w:autoSpaceDN w:val="0"/>
        <w:adjustRightInd w:val="0"/>
        <w:spacing w:line="360" w:lineRule="auto"/>
        <w:ind w:left="902"/>
        <w:jc w:val="left"/>
        <w:rPr>
          <w:rFonts w:ascii="宋体" w:hAnsi="宋体" w:cs="宋体"/>
          <w:kern w:val="0"/>
          <w:sz w:val="24"/>
        </w:rPr>
      </w:pPr>
      <w:r>
        <w:rPr>
          <w:rFonts w:hint="eastAsia" w:ascii="宋体" w:hAnsi="宋体" w:cs="宋体"/>
          <w:kern w:val="0"/>
          <w:sz w:val="24"/>
        </w:rPr>
        <w:t>综合布线系统</w:t>
      </w:r>
    </w:p>
    <w:p>
      <w:pPr>
        <w:numPr>
          <w:ilvl w:val="0"/>
          <w:numId w:val="3"/>
        </w:numPr>
        <w:tabs>
          <w:tab w:val="left" w:pos="6"/>
        </w:tabs>
        <w:autoSpaceDE w:val="0"/>
        <w:autoSpaceDN w:val="0"/>
        <w:adjustRightInd w:val="0"/>
        <w:spacing w:line="360" w:lineRule="auto"/>
        <w:ind w:left="902"/>
        <w:jc w:val="left"/>
        <w:rPr>
          <w:rFonts w:ascii="宋体" w:hAnsi="宋体" w:cs="宋体"/>
          <w:kern w:val="0"/>
          <w:sz w:val="24"/>
        </w:rPr>
      </w:pPr>
      <w:r>
        <w:rPr>
          <w:rFonts w:hint="eastAsia" w:ascii="宋体" w:hAnsi="宋体" w:cs="宋体"/>
          <w:kern w:val="0"/>
          <w:sz w:val="24"/>
        </w:rPr>
        <w:t>网络系统（含无线</w:t>
      </w:r>
      <w:r>
        <w:rPr>
          <w:rFonts w:ascii="宋体" w:hAnsi="宋体" w:cs="宋体"/>
          <w:kern w:val="0"/>
          <w:sz w:val="24"/>
        </w:rPr>
        <w:t>）</w:t>
      </w:r>
    </w:p>
    <w:p>
      <w:pPr>
        <w:numPr>
          <w:ilvl w:val="0"/>
          <w:numId w:val="3"/>
        </w:numPr>
        <w:tabs>
          <w:tab w:val="left" w:pos="6"/>
        </w:tabs>
        <w:autoSpaceDE w:val="0"/>
        <w:autoSpaceDN w:val="0"/>
        <w:adjustRightInd w:val="0"/>
        <w:spacing w:line="360" w:lineRule="auto"/>
        <w:ind w:left="902"/>
        <w:jc w:val="left"/>
        <w:rPr>
          <w:rFonts w:ascii="宋体" w:hAnsi="宋体" w:cs="宋体"/>
          <w:kern w:val="0"/>
          <w:sz w:val="24"/>
        </w:rPr>
      </w:pPr>
      <w:r>
        <w:rPr>
          <w:rFonts w:hint="eastAsia" w:ascii="宋体" w:hAnsi="宋体" w:cs="宋体"/>
          <w:kern w:val="0"/>
          <w:sz w:val="24"/>
        </w:rPr>
        <w:t>监控系统</w:t>
      </w:r>
    </w:p>
    <w:p>
      <w:pPr>
        <w:numPr>
          <w:ilvl w:val="0"/>
          <w:numId w:val="3"/>
        </w:numPr>
        <w:tabs>
          <w:tab w:val="left" w:pos="6"/>
        </w:tabs>
        <w:autoSpaceDE w:val="0"/>
        <w:autoSpaceDN w:val="0"/>
        <w:adjustRightInd w:val="0"/>
        <w:spacing w:line="360" w:lineRule="auto"/>
        <w:ind w:left="902"/>
        <w:jc w:val="left"/>
        <w:rPr>
          <w:rFonts w:ascii="宋体" w:hAnsi="宋体" w:cs="宋体"/>
          <w:kern w:val="0"/>
          <w:sz w:val="24"/>
        </w:rPr>
      </w:pPr>
      <w:r>
        <w:rPr>
          <w:rFonts w:hint="eastAsia" w:ascii="宋体" w:hAnsi="宋体" w:cs="宋体"/>
          <w:kern w:val="0"/>
          <w:sz w:val="24"/>
        </w:rPr>
        <w:t>广播系统</w:t>
      </w:r>
    </w:p>
    <w:p>
      <w:pPr>
        <w:numPr>
          <w:ilvl w:val="0"/>
          <w:numId w:val="3"/>
        </w:numPr>
        <w:tabs>
          <w:tab w:val="left" w:pos="6"/>
        </w:tabs>
        <w:autoSpaceDE w:val="0"/>
        <w:autoSpaceDN w:val="0"/>
        <w:adjustRightInd w:val="0"/>
        <w:spacing w:line="360" w:lineRule="auto"/>
        <w:ind w:left="902"/>
        <w:jc w:val="left"/>
        <w:rPr>
          <w:rFonts w:ascii="宋体" w:hAnsi="宋体" w:cs="宋体"/>
          <w:kern w:val="0"/>
          <w:sz w:val="24"/>
        </w:rPr>
      </w:pPr>
      <w:r>
        <w:rPr>
          <w:rFonts w:hint="eastAsia" w:ascii="宋体" w:hAnsi="宋体" w:cs="宋体"/>
          <w:kern w:val="0"/>
          <w:sz w:val="24"/>
        </w:rPr>
        <w:t>通风系统</w:t>
      </w:r>
    </w:p>
    <w:p>
      <w:pPr>
        <w:pStyle w:val="3"/>
        <w:jc w:val="center"/>
        <w:rPr>
          <w:rFonts w:hint="eastAsia"/>
        </w:rPr>
      </w:pPr>
    </w:p>
    <w:p>
      <w:pPr>
        <w:rPr>
          <w:rFonts w:hint="eastAsia"/>
        </w:rPr>
      </w:pPr>
    </w:p>
    <w:p>
      <w:pPr>
        <w:pStyle w:val="2"/>
        <w:rPr>
          <w:rFonts w:hint="eastAsia"/>
        </w:rPr>
      </w:pPr>
    </w:p>
    <w:p>
      <w:pPr>
        <w:pStyle w:val="2"/>
        <w:sectPr>
          <w:headerReference r:id="rId3" w:type="default"/>
          <w:footerReference r:id="rId4" w:type="default"/>
          <w:pgSz w:w="11906" w:h="16838"/>
          <w:pgMar w:top="1361" w:right="1361" w:bottom="1361" w:left="1361" w:header="851" w:footer="992" w:gutter="0"/>
          <w:cols w:space="425" w:num="1"/>
          <w:docGrid w:type="lines" w:linePitch="312" w:charSpace="0"/>
        </w:sectPr>
      </w:pPr>
    </w:p>
    <w:p>
      <w:pPr>
        <w:pStyle w:val="4"/>
        <w:rPr>
          <w:rFonts w:hint="eastAsia" w:asciiTheme="majorEastAsia" w:hAnsiTheme="majorEastAsia"/>
        </w:rPr>
      </w:pPr>
      <w:bookmarkStart w:id="43" w:name="_Toc19880427"/>
      <w:r>
        <w:rPr>
          <w:rFonts w:asciiTheme="majorEastAsia" w:hAnsiTheme="majorEastAsia"/>
        </w:rPr>
        <w:t>2.</w:t>
      </w:r>
      <w:r>
        <w:rPr>
          <w:rFonts w:hint="eastAsia" w:asciiTheme="majorEastAsia" w:hAnsiTheme="majorEastAsia"/>
        </w:rPr>
        <w:t xml:space="preserve"> 项目采购需求清单及详细技术参数要求</w:t>
      </w:r>
      <w:bookmarkEnd w:id="43"/>
    </w:p>
    <w:p>
      <w:pPr>
        <w:widowControl/>
        <w:jc w:val="left"/>
        <w:rPr>
          <w:sz w:val="24"/>
        </w:rPr>
      </w:pPr>
    </w:p>
    <w:tbl>
      <w:tblPr>
        <w:tblStyle w:val="18"/>
        <w:tblW w:w="10065" w:type="dxa"/>
        <w:tblInd w:w="138" w:type="dxa"/>
        <w:tblLayout w:type="fixed"/>
        <w:tblCellMar>
          <w:top w:w="0" w:type="dxa"/>
          <w:left w:w="108" w:type="dxa"/>
          <w:bottom w:w="0" w:type="dxa"/>
          <w:right w:w="108" w:type="dxa"/>
        </w:tblCellMar>
      </w:tblPr>
      <w:tblGrid>
        <w:gridCol w:w="682"/>
        <w:gridCol w:w="1020"/>
        <w:gridCol w:w="5660"/>
        <w:gridCol w:w="718"/>
        <w:gridCol w:w="851"/>
        <w:gridCol w:w="1134"/>
      </w:tblGrid>
      <w:tr>
        <w:tblPrEx>
          <w:tblLayout w:type="fixed"/>
          <w:tblCellMar>
            <w:top w:w="0" w:type="dxa"/>
            <w:left w:w="108" w:type="dxa"/>
            <w:bottom w:w="0" w:type="dxa"/>
            <w:right w:w="108" w:type="dxa"/>
          </w:tblCellMar>
        </w:tblPrEx>
        <w:trPr>
          <w:trHeight w:val="540" w:hRule="atLeast"/>
        </w:trPr>
        <w:tc>
          <w:tcPr>
            <w:tcW w:w="10065" w:type="dxa"/>
            <w:gridSpan w:val="6"/>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32"/>
                <w:szCs w:val="28"/>
              </w:rPr>
              <w:t>国网浙江三门县供电有限公司物流中心标准化仓库改造项目清单</w:t>
            </w:r>
          </w:p>
        </w:tc>
      </w:tr>
      <w:tr>
        <w:tblPrEx>
          <w:tblLayout w:type="fixed"/>
          <w:tblCellMar>
            <w:top w:w="0" w:type="dxa"/>
            <w:left w:w="108" w:type="dxa"/>
            <w:bottom w:w="0" w:type="dxa"/>
            <w:right w:w="108" w:type="dxa"/>
          </w:tblCellMar>
        </w:tblPrEx>
        <w:trPr>
          <w:trHeight w:val="645" w:hRule="atLeast"/>
        </w:trPr>
        <w:tc>
          <w:tcPr>
            <w:tcW w:w="1006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一、综合布线系统</w:t>
            </w:r>
          </w:p>
        </w:tc>
      </w:tr>
      <w:tr>
        <w:tblPrEx>
          <w:tblLayout w:type="fixed"/>
          <w:tblCellMar>
            <w:top w:w="0" w:type="dxa"/>
            <w:left w:w="108" w:type="dxa"/>
            <w:bottom w:w="0" w:type="dxa"/>
            <w:right w:w="108" w:type="dxa"/>
          </w:tblCellMar>
        </w:tblPrEx>
        <w:trPr>
          <w:trHeight w:val="696"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0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参数要求</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单位</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工程量</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建议品牌 </w:t>
            </w:r>
          </w:p>
        </w:tc>
      </w:tr>
      <w:tr>
        <w:tblPrEx>
          <w:tblLayout w:type="fixed"/>
          <w:tblCellMar>
            <w:top w:w="0" w:type="dxa"/>
            <w:left w:w="108" w:type="dxa"/>
            <w:bottom w:w="0" w:type="dxa"/>
            <w:right w:w="108" w:type="dxa"/>
          </w:tblCellMar>
        </w:tblPrEx>
        <w:trPr>
          <w:trHeight w:val="76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配管</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1.名称:电线管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2.规格:KBG 25</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3.配置形式:暗敷</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米</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506.6</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国产国标</w:t>
            </w:r>
          </w:p>
        </w:tc>
      </w:tr>
      <w:tr>
        <w:tblPrEx>
          <w:tblLayout w:type="fixed"/>
          <w:tblCellMar>
            <w:top w:w="0" w:type="dxa"/>
            <w:left w:w="108" w:type="dxa"/>
            <w:bottom w:w="0" w:type="dxa"/>
            <w:right w:w="108" w:type="dxa"/>
          </w:tblCellMar>
        </w:tblPrEx>
        <w:trPr>
          <w:trHeight w:val="76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桥架</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1.名称:钢制槽式桥架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2.规格:150*75</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3.安装部位:室内</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米</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70.20</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国产国标</w:t>
            </w:r>
          </w:p>
        </w:tc>
      </w:tr>
      <w:tr>
        <w:tblPrEx>
          <w:tblLayout w:type="fixed"/>
          <w:tblCellMar>
            <w:top w:w="0" w:type="dxa"/>
            <w:left w:w="108" w:type="dxa"/>
            <w:bottom w:w="0" w:type="dxa"/>
            <w:right w:w="108" w:type="dxa"/>
          </w:tblCellMar>
        </w:tblPrEx>
        <w:trPr>
          <w:trHeight w:val="49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铁构件</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1.名称:桥架支撑架安装</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kg</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93.60</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安普、一舟、兆龙、帝一、润通</w:t>
            </w:r>
          </w:p>
        </w:tc>
      </w:tr>
      <w:tr>
        <w:tblPrEx>
          <w:tblLayout w:type="fixed"/>
          <w:tblCellMar>
            <w:top w:w="0" w:type="dxa"/>
            <w:left w:w="108" w:type="dxa"/>
            <w:bottom w:w="0" w:type="dxa"/>
            <w:right w:w="108" w:type="dxa"/>
          </w:tblCellMar>
        </w:tblPrEx>
        <w:trPr>
          <w:trHeight w:val="94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网线</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★1.名称:六类非屏蔽双绞线 cat6</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2.线缆对数:4</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3.敷设方式:管内及桥架内敷设</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米</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1530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安普、一舟、兆龙、帝一、润通、</w:t>
            </w:r>
          </w:p>
        </w:tc>
      </w:tr>
      <w:tr>
        <w:tblPrEx>
          <w:tblLayout w:type="fixed"/>
          <w:tblCellMar>
            <w:top w:w="0" w:type="dxa"/>
            <w:left w:w="108" w:type="dxa"/>
            <w:bottom w:w="0" w:type="dxa"/>
            <w:right w:w="108" w:type="dxa"/>
          </w:tblCellMar>
        </w:tblPrEx>
        <w:trPr>
          <w:trHeight w:val="85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配线</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1.名称:铜芯聚氯乙烯绝缘聚氯乙烯护套软线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2.规格:RVV-2*1.0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3.配线部位:管内及桥架内敷设</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米</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608.60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安普、一舟、兆龙、帝一、润通</w:t>
            </w:r>
          </w:p>
        </w:tc>
      </w:tr>
      <w:tr>
        <w:tblPrEx>
          <w:tblLayout w:type="fixed"/>
          <w:tblCellMar>
            <w:top w:w="0" w:type="dxa"/>
            <w:left w:w="108" w:type="dxa"/>
            <w:bottom w:w="0" w:type="dxa"/>
            <w:right w:w="108" w:type="dxa"/>
          </w:tblCellMar>
        </w:tblPrEx>
        <w:trPr>
          <w:trHeight w:val="85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信息插座</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1.名称:六类双口网络插座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2.安装方式:离地0.3米安装暗装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3.底盒材质、规格:钢制接线盒</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公牛、德力西、施耐德、西门子</w:t>
            </w:r>
          </w:p>
        </w:tc>
      </w:tr>
      <w:tr>
        <w:tblPrEx>
          <w:tblLayout w:type="fixed"/>
          <w:tblCellMar>
            <w:top w:w="0" w:type="dxa"/>
            <w:left w:w="108" w:type="dxa"/>
            <w:bottom w:w="0" w:type="dxa"/>
            <w:right w:w="108" w:type="dxa"/>
          </w:tblCellMar>
        </w:tblPrEx>
        <w:trPr>
          <w:trHeight w:val="85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信息插座</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1.名称:六类单口网络插座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2.安装方式:离地0.3米安装暗装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3.底盒材质、规格:钢制接线盒</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公牛、德力西、施耐德、西门子</w:t>
            </w:r>
          </w:p>
        </w:tc>
      </w:tr>
      <w:tr>
        <w:tblPrEx>
          <w:tblLayout w:type="fixed"/>
          <w:tblCellMar>
            <w:top w:w="0" w:type="dxa"/>
            <w:left w:w="108" w:type="dxa"/>
            <w:bottom w:w="0" w:type="dxa"/>
            <w:right w:w="108" w:type="dxa"/>
          </w:tblCellMar>
        </w:tblPrEx>
        <w:trPr>
          <w:trHeight w:val="85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信息插座</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1、名称:六类网络地插</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2、安装方式：地面安装暗装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3、底盒材质、规格：钢制接线盒</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公牛、德力西、施耐德、西门子</w:t>
            </w:r>
          </w:p>
        </w:tc>
      </w:tr>
      <w:tr>
        <w:tblPrEx>
          <w:tblLayout w:type="fixed"/>
          <w:tblCellMar>
            <w:top w:w="0" w:type="dxa"/>
            <w:left w:w="108" w:type="dxa"/>
            <w:bottom w:w="0" w:type="dxa"/>
            <w:right w:w="108" w:type="dxa"/>
          </w:tblCellMar>
        </w:tblPrEx>
        <w:trPr>
          <w:trHeight w:val="79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电话配线架</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1.名称:110机柜式配线架（100对）</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安普、一舟、兆龙、帝一、润通、润通</w:t>
            </w:r>
          </w:p>
        </w:tc>
      </w:tr>
      <w:tr>
        <w:tblPrEx>
          <w:tblLayout w:type="fixed"/>
          <w:tblCellMar>
            <w:top w:w="0" w:type="dxa"/>
            <w:left w:w="108" w:type="dxa"/>
            <w:bottom w:w="0" w:type="dxa"/>
            <w:right w:w="108" w:type="dxa"/>
          </w:tblCellMar>
        </w:tblPrEx>
        <w:trPr>
          <w:trHeight w:val="66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跳线</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1.名称:六类跳线（2米）</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条</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安普、一舟、兆龙、帝一、润通</w:t>
            </w:r>
          </w:p>
        </w:tc>
      </w:tr>
      <w:tr>
        <w:tblPrEx>
          <w:tblLayout w:type="fixed"/>
          <w:tblCellMar>
            <w:top w:w="0" w:type="dxa"/>
            <w:left w:w="108" w:type="dxa"/>
            <w:bottom w:w="0" w:type="dxa"/>
            <w:right w:w="108" w:type="dxa"/>
          </w:tblCellMar>
        </w:tblPrEx>
        <w:trPr>
          <w:trHeight w:val="66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网线配线架</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1.名称:24口六类屏蔽配线架</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安普、一舟、兆龙、帝一、润通</w:t>
            </w:r>
          </w:p>
        </w:tc>
      </w:tr>
      <w:tr>
        <w:tblPrEx>
          <w:tblLayout w:type="fixed"/>
          <w:tblCellMar>
            <w:top w:w="0" w:type="dxa"/>
            <w:left w:w="108" w:type="dxa"/>
            <w:bottom w:w="0" w:type="dxa"/>
            <w:right w:w="108" w:type="dxa"/>
          </w:tblCellMar>
        </w:tblPrEx>
        <w:trPr>
          <w:trHeight w:val="66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理线器</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24口理线架</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安普、一舟、兆龙、帝一、润通</w:t>
            </w:r>
          </w:p>
        </w:tc>
      </w:tr>
      <w:tr>
        <w:tblPrEx>
          <w:tblLayout w:type="fixed"/>
          <w:tblCellMar>
            <w:top w:w="0" w:type="dxa"/>
            <w:left w:w="108" w:type="dxa"/>
            <w:bottom w:w="0" w:type="dxa"/>
            <w:right w:w="108" w:type="dxa"/>
          </w:tblCellMar>
        </w:tblPrEx>
        <w:trPr>
          <w:trHeight w:val="157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机柜、机架</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名称:机柜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规格、型号:40U 600*800*2000(前后网孔门)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SPCC优质冷扎钢板制作;厚度:方孔条2.0mm,托盘2.0mm,安装梁1.5m,其他1.2mm;表面处理:脱脂、酸洗、磷化、静电喷塑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外观高贵典雅,工艺精湛、尺寸精密,媲美国际最高档网络服务器机柜,彰显优质机房工程形象</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图腾、融汇、普天等</w:t>
            </w:r>
          </w:p>
        </w:tc>
      </w:tr>
      <w:tr>
        <w:tblPrEx>
          <w:tblLayout w:type="fixed"/>
          <w:tblCellMar>
            <w:top w:w="0" w:type="dxa"/>
            <w:left w:w="108" w:type="dxa"/>
            <w:bottom w:w="0" w:type="dxa"/>
            <w:right w:w="108" w:type="dxa"/>
          </w:tblCellMar>
        </w:tblPrEx>
        <w:trPr>
          <w:trHeight w:val="780" w:hRule="atLeast"/>
        </w:trPr>
        <w:tc>
          <w:tcPr>
            <w:tcW w:w="1006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二、网络系统</w:t>
            </w:r>
          </w:p>
        </w:tc>
      </w:tr>
      <w:tr>
        <w:tblPrEx>
          <w:tblLayout w:type="fixed"/>
          <w:tblCellMar>
            <w:top w:w="0" w:type="dxa"/>
            <w:left w:w="108" w:type="dxa"/>
            <w:bottom w:w="0" w:type="dxa"/>
            <w:right w:w="108" w:type="dxa"/>
          </w:tblCellMar>
        </w:tblPrEx>
        <w:trPr>
          <w:trHeight w:val="662"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0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参数要求</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单位</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工程量</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建议品牌 </w:t>
            </w:r>
          </w:p>
        </w:tc>
      </w:tr>
      <w:tr>
        <w:tblPrEx>
          <w:tblLayout w:type="fixed"/>
          <w:tblCellMar>
            <w:top w:w="0" w:type="dxa"/>
            <w:left w:w="108" w:type="dxa"/>
            <w:bottom w:w="0" w:type="dxa"/>
            <w:right w:w="108" w:type="dxa"/>
          </w:tblCellMar>
        </w:tblPrEx>
        <w:trPr>
          <w:trHeight w:val="76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配管</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1.名称:电线管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2.规格:KBG 25</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3.配置形式:暗敷</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米</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131.20</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国产国标</w:t>
            </w:r>
          </w:p>
        </w:tc>
      </w:tr>
      <w:tr>
        <w:tblPrEx>
          <w:tblLayout w:type="fixed"/>
          <w:tblCellMar>
            <w:top w:w="0" w:type="dxa"/>
            <w:left w:w="108" w:type="dxa"/>
            <w:bottom w:w="0" w:type="dxa"/>
            <w:right w:w="108" w:type="dxa"/>
          </w:tblCellMar>
        </w:tblPrEx>
        <w:trPr>
          <w:trHeight w:val="76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双绞线缆</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1.名称:六类非屏蔽双绞线 cat6</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2.线缆对数:4</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3.敷设方式:管内及桥架内敷设</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米</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384.00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安普、一舟、兆龙、帝一、润通</w:t>
            </w:r>
          </w:p>
        </w:tc>
      </w:tr>
      <w:tr>
        <w:tblPrEx>
          <w:tblLayout w:type="fixed"/>
          <w:tblCellMar>
            <w:top w:w="0" w:type="dxa"/>
            <w:left w:w="108" w:type="dxa"/>
            <w:bottom w:w="0" w:type="dxa"/>
            <w:right w:w="108" w:type="dxa"/>
          </w:tblCellMar>
        </w:tblPrEx>
        <w:trPr>
          <w:trHeight w:val="76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配线</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1.名称:铜芯聚氯乙烯绝缘聚氯乙烯护套软线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2.规格:RVV-2*1.0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3.配线部位:管内及桥架内敷设</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米</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608.60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安普、一舟、兆龙、帝一、润通</w:t>
            </w:r>
          </w:p>
        </w:tc>
      </w:tr>
      <w:tr>
        <w:tblPrEx>
          <w:tblLayout w:type="fixed"/>
          <w:tblCellMar>
            <w:top w:w="0" w:type="dxa"/>
            <w:left w:w="108" w:type="dxa"/>
            <w:bottom w:w="0" w:type="dxa"/>
            <w:right w:w="108" w:type="dxa"/>
          </w:tblCellMar>
        </w:tblPrEx>
        <w:trPr>
          <w:trHeight w:val="76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配线</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1.名称:铜芯聚氯乙烯绝缘聚氯乙烯护套软线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2.规格:RVV-4*1.0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3.配线部位:管内及桥架内敷设</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米</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59.40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安普、一舟、兆龙、帝一、润通</w:t>
            </w:r>
          </w:p>
        </w:tc>
      </w:tr>
      <w:tr>
        <w:tblPrEx>
          <w:tblLayout w:type="fixed"/>
          <w:tblCellMar>
            <w:top w:w="0" w:type="dxa"/>
            <w:left w:w="108" w:type="dxa"/>
            <w:bottom w:w="0" w:type="dxa"/>
            <w:right w:w="108" w:type="dxa"/>
          </w:tblCellMar>
        </w:tblPrEx>
        <w:trPr>
          <w:trHeight w:val="76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配线</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1.名称:铜芯聚氯乙烯绝缘聚氯乙烯护套软线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2.规格:RVV-3*1.0</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3.配线部位:管内及桥架内敷设</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米</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98.30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安普、一舟、兆龙、帝一、润通</w:t>
            </w:r>
          </w:p>
        </w:tc>
      </w:tr>
      <w:tr>
        <w:tblPrEx>
          <w:tblLayout w:type="fixed"/>
          <w:tblCellMar>
            <w:top w:w="0" w:type="dxa"/>
            <w:left w:w="108" w:type="dxa"/>
            <w:bottom w:w="0" w:type="dxa"/>
            <w:right w:w="108" w:type="dxa"/>
          </w:tblCellMar>
        </w:tblPrEx>
        <w:trPr>
          <w:trHeight w:val="1519"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交换机</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1.名称:交换机-固化48个10/100/1000Base-T以太网端口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4个1000Base-X以太网端口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交换容量256Gbps、包转发率132Mpps、</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环境要求运行环境温度：0℃～40℃ 存储环境温度：-40℃～70℃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运行环境湿度：5%～95%（非凝结） 存储环境湿度：5%～95%（非凝结）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支持 IEEE 802.3x 流控（全双工）流量控制</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华三、华为、思科</w:t>
            </w:r>
          </w:p>
        </w:tc>
      </w:tr>
      <w:tr>
        <w:tblPrEx>
          <w:tblLayout w:type="fixed"/>
          <w:tblCellMar>
            <w:top w:w="0" w:type="dxa"/>
            <w:left w:w="108" w:type="dxa"/>
            <w:bottom w:w="0" w:type="dxa"/>
            <w:right w:w="108" w:type="dxa"/>
          </w:tblCellMar>
        </w:tblPrEx>
        <w:trPr>
          <w:trHeight w:val="100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POE</w:t>
            </w:r>
            <w:r>
              <w:rPr>
                <w:rFonts w:hint="eastAsia" w:ascii="宋体" w:hAnsi="宋体" w:eastAsia="宋体" w:cs="宋体"/>
                <w:color w:val="000000"/>
                <w:kern w:val="0"/>
                <w:sz w:val="18"/>
                <w:szCs w:val="18"/>
              </w:rPr>
              <w:t>注入器</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1.名称:poe注入器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2.类别:24个10/100/1000M自适应电口，4个千兆SFP光口，1-24口支持PoE+/PoE。含千兆单芯光模块1对。 </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华三、华为、思科</w:t>
            </w:r>
          </w:p>
        </w:tc>
      </w:tr>
      <w:tr>
        <w:tblPrEx>
          <w:tblLayout w:type="fixed"/>
          <w:tblCellMar>
            <w:top w:w="0" w:type="dxa"/>
            <w:left w:w="108" w:type="dxa"/>
            <w:bottom w:w="0" w:type="dxa"/>
            <w:right w:w="108" w:type="dxa"/>
          </w:tblCellMar>
        </w:tblPrEx>
        <w:trPr>
          <w:trHeight w:val="90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无线控制器</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1.名称:无线控制器2.类别:下一代无线控制器，自带8个千兆电口，2个SFP复用口；默认支持32个AP，可通过扩展License最大控制224个AP；支持墙面式AP特性，墙面式AP最大可控数量翻倍，标配一个电源，不可扩展</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华三、华为、思科</w:t>
            </w:r>
          </w:p>
        </w:tc>
      </w:tr>
      <w:tr>
        <w:tblPrEx>
          <w:tblLayout w:type="fixed"/>
          <w:tblCellMar>
            <w:top w:w="0" w:type="dxa"/>
            <w:left w:w="108" w:type="dxa"/>
            <w:bottom w:w="0" w:type="dxa"/>
            <w:right w:w="108" w:type="dxa"/>
          </w:tblCellMar>
        </w:tblPrEx>
        <w:trPr>
          <w:trHeight w:val="1414"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无线AP</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1.名称:无线AP</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2.类别:室内放装型双频2.4GHz和5GHz，支持2条空间流，支持千兆接入，整机最大接入用户数256，可支持802.11a/b/g/n和802.11ac同时工作，★支持802.11ac Wave2特性， PoE和本地供电，（PoE和本地电源适配器需单独选购）丰富的接口指示灯，提供橙、绿、蓝等不同的工作状态显示。MTBF&gt;250000H</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华三、华为、思科</w:t>
            </w:r>
          </w:p>
        </w:tc>
      </w:tr>
      <w:tr>
        <w:tblPrEx>
          <w:tblLayout w:type="fixed"/>
          <w:tblCellMar>
            <w:top w:w="0" w:type="dxa"/>
            <w:left w:w="108" w:type="dxa"/>
            <w:bottom w:w="0" w:type="dxa"/>
            <w:right w:w="108" w:type="dxa"/>
          </w:tblCellMar>
        </w:tblPrEx>
        <w:trPr>
          <w:trHeight w:val="556" w:hRule="atLeast"/>
        </w:trPr>
        <w:tc>
          <w:tcPr>
            <w:tcW w:w="1006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三、监控系统</w:t>
            </w:r>
          </w:p>
        </w:tc>
      </w:tr>
      <w:tr>
        <w:tblPrEx>
          <w:tblLayout w:type="fixed"/>
          <w:tblCellMar>
            <w:top w:w="0" w:type="dxa"/>
            <w:left w:w="108" w:type="dxa"/>
            <w:bottom w:w="0" w:type="dxa"/>
            <w:right w:w="108" w:type="dxa"/>
          </w:tblCellMar>
        </w:tblPrEx>
        <w:trPr>
          <w:trHeight w:val="582"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0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参数要求</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单位</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工程量</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建议品牌 </w:t>
            </w:r>
          </w:p>
        </w:tc>
      </w:tr>
      <w:tr>
        <w:tblPrEx>
          <w:tblLayout w:type="fixed"/>
          <w:tblCellMar>
            <w:top w:w="0" w:type="dxa"/>
            <w:left w:w="108" w:type="dxa"/>
            <w:bottom w:w="0" w:type="dxa"/>
            <w:right w:w="108" w:type="dxa"/>
          </w:tblCellMar>
        </w:tblPrEx>
        <w:trPr>
          <w:trHeight w:val="67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配管</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1.名称:电线管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2.规格:KBG 25</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3.配置形式:暗敷</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米</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131.20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国产国标</w:t>
            </w:r>
          </w:p>
        </w:tc>
      </w:tr>
      <w:tr>
        <w:tblPrEx>
          <w:tblLayout w:type="fixed"/>
          <w:tblCellMar>
            <w:top w:w="0" w:type="dxa"/>
            <w:left w:w="108" w:type="dxa"/>
            <w:bottom w:w="0" w:type="dxa"/>
            <w:right w:w="108" w:type="dxa"/>
          </w:tblCellMar>
        </w:tblPrEx>
        <w:trPr>
          <w:trHeight w:val="67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双绞线缆</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1.名称:六类非屏蔽双绞线 cat6</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2.线缆对数:4</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3.敷设方式:管内及桥架内敷设</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米</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1421.90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安普、一舟、兆龙、帝一、润通</w:t>
            </w:r>
          </w:p>
        </w:tc>
      </w:tr>
      <w:tr>
        <w:tblPrEx>
          <w:tblLayout w:type="fixed"/>
          <w:tblCellMar>
            <w:top w:w="0" w:type="dxa"/>
            <w:left w:w="108" w:type="dxa"/>
            <w:bottom w:w="0" w:type="dxa"/>
            <w:right w:w="108" w:type="dxa"/>
          </w:tblCellMar>
        </w:tblPrEx>
        <w:trPr>
          <w:trHeight w:val="67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配线</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1.名称:铜芯聚氯乙烯绝缘聚氯乙烯护套软线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2.规格:RVV-2*1.0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3.配线部位:管内及桥架内敷设</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米</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1421.90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安普、一舟、兆龙、帝一、润通</w:t>
            </w:r>
          </w:p>
        </w:tc>
      </w:tr>
      <w:tr>
        <w:tblPrEx>
          <w:tblLayout w:type="fixed"/>
          <w:tblCellMar>
            <w:top w:w="0" w:type="dxa"/>
            <w:left w:w="108" w:type="dxa"/>
            <w:bottom w:w="0" w:type="dxa"/>
            <w:right w:w="108" w:type="dxa"/>
          </w:tblCellMar>
        </w:tblPrEx>
        <w:trPr>
          <w:trHeight w:val="4848"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枪式摄像机</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500万星光级1/2.7”CMOS ICR红外阵列筒型网络摄像机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具有500万像素CMOS传感器，支持三码流技术，可同时输出三路码流，主码流最高2560x1920@12.5fps，第三码流最大1920x1080@30fps，子码流704x576@30fps，在2560x1920分辨率下，清晰度不小于1900TVL，支持H.264、H.265、MJPEG视频编码格式，且具有HighProfile编码能力，需支持8行字符显示，字体颜色可设置，需具有图片叠加到视频画面功能，具备人脸检测、区域入侵检测、越界检测、虚焦检测、进入区域、离开区域、徘徊、人员聚集、逆行、场景变更、虚焦侦测、音频异常等功能，支持8行字符显示，字体颜色可设置，需具有图片叠加到视频画面功能，具有黑白名单功能，其中白名单可添加不小于10个IP地址，电源供应 DC12V±25% / PoE(802.3af),音频接口:1路音频输入(Line in),1路音频输出(Line out)接口(插线式接口) ,内置麦克风，报警接口 :1路报警输入,1路报警输出（三极管:超过30毫安建议加继电器），红外补光距离不小于80米</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最低照度彩色：0.0008lx，黑白:0.0001lx，灰度等级不小于11级、为保证整体系统稳定性，投标产品必须与录像机为同一品牌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★同一静止场景相同图像质量下，设备在H.265编码方式时，开启智能编码功能和不开启智能编码相比，码率节约1/2（需提供第三方检测报告加盖原厂公章）</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海康、大华、宇视、三星、英飞拓</w:t>
            </w:r>
          </w:p>
        </w:tc>
      </w:tr>
      <w:tr>
        <w:tblPrEx>
          <w:tblLayout w:type="fixed"/>
          <w:tblCellMar>
            <w:top w:w="0" w:type="dxa"/>
            <w:left w:w="108" w:type="dxa"/>
            <w:bottom w:w="0" w:type="dxa"/>
            <w:right w:w="108" w:type="dxa"/>
          </w:tblCellMar>
        </w:tblPrEx>
        <w:trPr>
          <w:trHeight w:val="464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半球摄像机</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500万星光级1/2.7”CMOS ICR日夜型半球型网络摄像机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具有500万像素CMOS传感器，支持三码流技术，可同时输出三路码流，主码流最高2560x1920@12.5fps，第三码流最大1920x1080@30fps，子码流704x576@30fps，在2560x1920分辨率下，清晰度不小于1900TVL，支持H.264、H.265、MJPEG视频编码格式，且具有HighProfile编码能力，需支持8行字符显示，字体颜色可设置，需具有图片叠加到视频画面功能，具备人脸检测、区域入侵检测、越界检测、虚焦检测、进入区域、离开区域、徘徊、人员聚集、逆行、场景变更、虚焦侦测、音频异常等功能，支持8行字符显示，字体颜色可设置，需具有图片叠加到视频画面功能，具有黑白名单功能，其中白名单可添加不小于10个IP地址，电源供应 DC12V±25% / PoE(802.3af),音频接口:1路音频输入(Line in),1路音频输出(Line out)接口(插线式接口) ,内置麦克风，报警接口 :1路报警输入,1路报警输出（三极管:超过30毫安建议加继电器），红外补光距离不小于40米</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最低照度彩色：0.001lx，黑白:0.0001lx，灰度等级不小于11级、为保证整体系统稳定性，投标产品必须与录像机为同一品牌</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★同一静止场景相同图像质量下，设备在H.265编码方式时，开启智能编码功能和不开启智能编码相比，码率节约1/2（需提供第三方检测报告加盖原厂公章）</w:t>
            </w:r>
            <w:r>
              <w:rPr>
                <w:rFonts w:hint="eastAsia" w:ascii="宋体" w:hAnsi="宋体" w:eastAsia="宋体" w:cs="宋体"/>
                <w:color w:val="000000"/>
                <w:kern w:val="0"/>
                <w:sz w:val="18"/>
                <w:szCs w:val="18"/>
              </w:rPr>
              <w:br w:type="page"/>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海康、大华、宇视、三星、英飞拓</w:t>
            </w:r>
          </w:p>
        </w:tc>
      </w:tr>
      <w:tr>
        <w:tblPrEx>
          <w:tblLayout w:type="fixed"/>
          <w:tblCellMar>
            <w:top w:w="0" w:type="dxa"/>
            <w:left w:w="108" w:type="dxa"/>
            <w:bottom w:w="0" w:type="dxa"/>
            <w:right w:w="108" w:type="dxa"/>
          </w:tblCellMar>
        </w:tblPrEx>
        <w:trPr>
          <w:trHeight w:val="312"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监控专用监视器</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窄边55寸液晶监视器，金属外观边框厚度：11.8mm</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显示：LED背光；分辨率1920*1080；亮度450cd/㎡，对比度：3500:1，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裸机尺寸(W×L×D)(mm)：1237.2×708×75.74</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接口：HDMI输入*1、VGA输入*1、DVI输入*1、BNC输入*1、BNC输出*1、Audio输入*1、USB*1</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★为保证产品具备良好的防护性和稳定性，需提供封面首页具有CNAS标识的抗强光干扰、漏光度、跌落和电磁抗扰度检测报告.</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为保证整体系统稳定性，建议投标产品与摄像机、录像机为同一品牌。支持定时开关机：支持按周绘制开关机时间段，或手动输入开关机时间点两种定时设置方式；用户通过客户端设置开关机定时信息,，设备到时间执行开机或关机动作，支持两种时间设置方式；以周为单位，每天可以设置多个开机和关机时间；可以设置特定年月日时分秒，做多可设置8个；开关机最小设置时间间隔30s；支持倒计时关机功能。监视器支持U盘点播，内置MPEG、JPEG和RealMedia解码器，支持点播U盘、移动硬盘中的视频、图片、音频或文本资源。视频：支持TS、3g2、avi、mkv、mov、mp4、mpg、tp等文件。音频：支持mp3、wma、m4a、wav、aac等文件。图片：支持jpg、bmp、png等文件。文本：支持txt文件</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海康、大华、宇视、三星、英飞拓</w:t>
            </w:r>
          </w:p>
        </w:tc>
      </w:tr>
      <w:tr>
        <w:tblPrEx>
          <w:tblLayout w:type="fixed"/>
          <w:tblCellMar>
            <w:top w:w="0" w:type="dxa"/>
            <w:left w:w="108" w:type="dxa"/>
            <w:bottom w:w="0" w:type="dxa"/>
            <w:right w:w="108" w:type="dxa"/>
          </w:tblCellMar>
        </w:tblPrEx>
        <w:trPr>
          <w:trHeight w:val="652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硬盘录像机</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硬件规格：</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标准机架式16盘位</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2个HDMI，2个VGA,HDMI+VGA组内同源可满配6TB硬盘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2个千兆网口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2个USB2.0接口、1个USB3.0接口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1个eSATA接口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支持RAID0、1、5、10，支持全局热备盘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软件性能：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输入带宽：大于320M</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64路H.264、H.265混合接入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最大支持16×1080P解码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支持H.265、H.264解码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Smart 2.0/整机热备/ANR/智能检索/智能回放/车牌检索/人脸检索/热度图/客流量统计/分时段回放/超高倍速回放/双系统备份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支持接入双目、三目、800w、1600w球型鹰眼、2400w环型鹰眼相机，3200w相机，并可将视频画面以多画面分割方式显示，可自定义画面布局</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支持查看硬盘健康状态信息，包括温度，震动，链路稳定性。并支持状态信息预警显示；支持查看最近7天（168小时）的硬盘状态显示信息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支持本地预览权限的配置，设置权限后的通道只有登录后才会出现预览画面；支持远程预览加密，只有输入密钥才能解开视频支持重要录像片段秒级检测，秒级检索录像文件中的人员、车辆、人体等活动目标，并以弹窗形式来展示活动目标关联的录像片段</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支持图片文件秒级检索，秒级提取硬盘中人脸、车辆、人体等图片文件，用户可快速浏览全部通道中的图片文件</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海康、大华、宇视、三星、英飞拓</w:t>
            </w:r>
          </w:p>
        </w:tc>
      </w:tr>
      <w:tr>
        <w:tblPrEx>
          <w:tblLayout w:type="fixed"/>
          <w:tblCellMar>
            <w:top w:w="0" w:type="dxa"/>
            <w:left w:w="108" w:type="dxa"/>
            <w:bottom w:w="0" w:type="dxa"/>
            <w:right w:w="108" w:type="dxa"/>
          </w:tblCellMar>
        </w:tblPrEx>
        <w:trPr>
          <w:trHeight w:val="57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硬盘</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4TB监控级硬盘\3.5英寸 4TB 64M SATA3</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16</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西数、希捷</w:t>
            </w:r>
          </w:p>
        </w:tc>
      </w:tr>
      <w:tr>
        <w:tblPrEx>
          <w:tblLayout w:type="fixed"/>
          <w:tblCellMar>
            <w:top w:w="0" w:type="dxa"/>
            <w:left w:w="108" w:type="dxa"/>
            <w:bottom w:w="0" w:type="dxa"/>
            <w:right w:w="108" w:type="dxa"/>
          </w:tblCellMar>
        </w:tblPrEx>
        <w:trPr>
          <w:trHeight w:val="2928"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监控接入POE交换机</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配置：可用千兆电接口数量≥24，非复用千兆光接口数量≥4</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管理口：支持独立的console管理串口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★提供工信部入网证及CCC证书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交换容量≥336Gbps，转发性能≥96Mpps</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POE：支持自适应802.3af/at供电标准，支持POE最大输出功率≥370W</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MAC地址表≥16K，支持MAC地址学习数目限制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为保证整体系统稳定性，建议投标产品与摄像机、录像机为同一品牌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聚合：支持链路聚合，支持VLAN，路由功能：支持IPv4/IPv6静态路由，支持RIP路由协议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支持防广播风暴，支持IGMP Snooping，支持QOS，网管：支持SNMP V1/V2/V3，支持通过telnet方式进行配置和管理，支持用户的分级分权控制，支持用户访问控制</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海康、大华、宇视、华三、华为、思科、三星、英飞拓</w:t>
            </w:r>
          </w:p>
        </w:tc>
      </w:tr>
      <w:tr>
        <w:tblPrEx>
          <w:tblLayout w:type="fixed"/>
          <w:tblCellMar>
            <w:top w:w="0" w:type="dxa"/>
            <w:left w:w="108" w:type="dxa"/>
            <w:bottom w:w="0" w:type="dxa"/>
            <w:right w:w="108" w:type="dxa"/>
          </w:tblCellMar>
        </w:tblPrEx>
        <w:trPr>
          <w:trHeight w:val="157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机柜、机架</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名称:机柜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规格、型号:40U 600*800*2000(前后网孔门)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SPCC优质冷扎钢板制作;厚度:方孔条2.0mm,托盘2.0mm,安装梁1.5m,其他1.2mm;表面处理:脱脂、酸洗、磷化、静电喷塑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外观高贵典雅,工艺精湛、尺寸精密,媲美国际最高档网络服务器机柜,彰显优质机房工程形象</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图腾、融汇、普天等</w:t>
            </w:r>
          </w:p>
        </w:tc>
      </w:tr>
      <w:tr>
        <w:tblPrEx>
          <w:tblLayout w:type="fixed"/>
          <w:tblCellMar>
            <w:top w:w="0" w:type="dxa"/>
            <w:left w:w="108" w:type="dxa"/>
            <w:bottom w:w="0" w:type="dxa"/>
            <w:right w:w="108" w:type="dxa"/>
          </w:tblCellMar>
        </w:tblPrEx>
        <w:trPr>
          <w:trHeight w:val="66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控制电脑</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1.名称:商用电脑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2.类别:I5/4G/1000G/19寸</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DELL、联想、HP</w:t>
            </w:r>
          </w:p>
        </w:tc>
      </w:tr>
      <w:tr>
        <w:tblPrEx>
          <w:tblLayout w:type="fixed"/>
          <w:tblCellMar>
            <w:top w:w="0" w:type="dxa"/>
            <w:left w:w="108" w:type="dxa"/>
            <w:bottom w:w="0" w:type="dxa"/>
            <w:right w:w="108" w:type="dxa"/>
          </w:tblCellMar>
        </w:tblPrEx>
        <w:trPr>
          <w:trHeight w:val="66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电源</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1.名称:电源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2.规格、型号:12V 10A</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国产、国标</w:t>
            </w:r>
          </w:p>
        </w:tc>
      </w:tr>
      <w:tr>
        <w:tblPrEx>
          <w:tblLayout w:type="fixed"/>
          <w:tblCellMar>
            <w:top w:w="0" w:type="dxa"/>
            <w:left w:w="108" w:type="dxa"/>
            <w:bottom w:w="0" w:type="dxa"/>
            <w:right w:w="108" w:type="dxa"/>
          </w:tblCellMar>
        </w:tblPrEx>
        <w:trPr>
          <w:trHeight w:val="540" w:hRule="atLeast"/>
        </w:trPr>
        <w:tc>
          <w:tcPr>
            <w:tcW w:w="1006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四、广播系统</w:t>
            </w:r>
          </w:p>
        </w:tc>
      </w:tr>
      <w:tr>
        <w:tblPrEx>
          <w:tblLayout w:type="fixed"/>
          <w:tblCellMar>
            <w:top w:w="0" w:type="dxa"/>
            <w:left w:w="108" w:type="dxa"/>
            <w:bottom w:w="0" w:type="dxa"/>
            <w:right w:w="108" w:type="dxa"/>
          </w:tblCellMar>
        </w:tblPrEx>
        <w:trPr>
          <w:trHeight w:val="55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0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参数要求</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单位</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工程量</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建议品牌  </w:t>
            </w:r>
          </w:p>
        </w:tc>
      </w:tr>
      <w:tr>
        <w:tblPrEx>
          <w:tblLayout w:type="fixed"/>
          <w:tblCellMar>
            <w:top w:w="0" w:type="dxa"/>
            <w:left w:w="108" w:type="dxa"/>
            <w:bottom w:w="0" w:type="dxa"/>
            <w:right w:w="108" w:type="dxa"/>
          </w:tblCellMar>
        </w:tblPrEx>
        <w:trPr>
          <w:trHeight w:val="67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配管</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1.名称:电线管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2.规格:KBG 20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3.配置形式:暗敷</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米</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384.30</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国产国标</w:t>
            </w:r>
          </w:p>
        </w:tc>
      </w:tr>
      <w:tr>
        <w:tblPrEx>
          <w:tblLayout w:type="fixed"/>
          <w:tblCellMar>
            <w:top w:w="0" w:type="dxa"/>
            <w:left w:w="108" w:type="dxa"/>
            <w:bottom w:w="0" w:type="dxa"/>
            <w:right w:w="108" w:type="dxa"/>
          </w:tblCellMar>
        </w:tblPrEx>
        <w:trPr>
          <w:trHeight w:val="84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配线</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1.名称:铜芯聚氯乙烯绝缘聚氯乙烯护套软线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2.规格:RVS-2*1.5</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3.配线部位:管内及桥架内敷设</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米</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1059.50</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安普、一舟、兆龙、帝一、润通</w:t>
            </w:r>
          </w:p>
        </w:tc>
      </w:tr>
      <w:tr>
        <w:tblPrEx>
          <w:tblLayout w:type="fixed"/>
          <w:tblCellMar>
            <w:top w:w="0" w:type="dxa"/>
            <w:left w:w="108" w:type="dxa"/>
            <w:bottom w:w="0" w:type="dxa"/>
            <w:right w:w="108" w:type="dxa"/>
          </w:tblCellMar>
        </w:tblPrEx>
        <w:trPr>
          <w:trHeight w:val="201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IP网络广播控制主机</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1.工业级机柜式机箱设计，机箱采用钢结构，有较高的防磁、防尘、防冲击的能力。</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2.15英寸LED液晶显示屏，内置五线工业加固触摸屏，简单易用的触摸屏操控。</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3.工业级专用主板设计，双核两线程超低功耗的嵌入式工业级处理器，处理速度更快，运作性能更强，可以长时期不断电稳定工作。</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4.内置大容量128G SSD固态硬盘，具有抗震动、抗摔、读写速度快、功耗低等特点。</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5.自带4路USB接口（4组通用串行总线），6路通用串口（6组工业异步传输接口），最高480M传输速率。方便外扩周边设备接入。</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6.自带1路千兆网卡，同时兼容百兆网络。自适应交换机连接系统。</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7.支持双显卡，可外接最大FullHD显示设备。</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8.具有一路短路触发开机运行接口，用于外部设备定时驱动开机运行，实现无人值守功能。</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9.支持操作系统配置通电自动开机、定时自动开机，定时自动关机功能，方便项目灵活操作管理。</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10.运载服务器软件后构成系统管理控制中心，服务器软件采用后台系统服务运行，是企业级的标准服务器工作模式，开机系统即可自动运行，相比运行在界面前台的软件具有更高的稳定性和可靠性。</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13.支持录音存储功能，可在后台自定义设置录音文件保存路径。</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惠威、菱声、博世、ITC、TOA、先科</w:t>
            </w:r>
          </w:p>
        </w:tc>
      </w:tr>
      <w:tr>
        <w:tblPrEx>
          <w:tblLayout w:type="fixed"/>
          <w:tblCellMar>
            <w:top w:w="0" w:type="dxa"/>
            <w:left w:w="108" w:type="dxa"/>
            <w:bottom w:w="0" w:type="dxa"/>
            <w:right w:w="108" w:type="dxa"/>
          </w:tblCellMar>
        </w:tblPrEx>
        <w:trPr>
          <w:trHeight w:val="1653"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数字化IP网络广播系统V3.0</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1.软件是整个系统的运行核心，统一管理系统内所有音频终端，包括寻呼话筒、对讲终端、广播终端和消防接口设备，实时显示音频终端的IP地址、在线状态、任务状态、音量等运行状态。</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2.广播系统需要为嵌入式（B/S架构），通过网页登陆即可进行终端管理、用户管理、节目播放管理、媒体库管理等功能的操作。</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3.管理节目库资源，为所有音频终端器提供定时播放和实时点播媒体服务，响应各终端的节目播放请求，为各音频工作站提供数据接口服务。支持手机移动端WIFI点播，兼容Android和IOS系统手机APP进行操作。</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4.提供全双工语音数据交换，响应各对讲终端的呼叫和通话请求，支持一键呼叫、一键对讲、一键求助、一键报警等通话模式，支持自动接听、手动接听，支持自定义接听提示音；支持多种呼叫策略，包括呼叫等待、呼叫转移、无人接听提醒，支持时间策略和转移策略自定义设置。</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5.支持设置对讲终端呼叫策略，可自定义通话时间0-180S或不受限，可选择是否自动接听，支持自定义选择来电铃声与等待铃声。</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6.支持终端短路输入联动触发，可任意设置联动触发方案和触发终端数量，触发方案包括短路输出、音乐播放等。</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7.编程定时任务，支持编程多套定时方案，支持选择任意终端和设置任意时间；支持多套定时打铃方案同时启用，每套定时打铃方案支持多套任务同时进行，支持一键启用/停用所有方案。</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8.支持定时巡更功能，支持自定义巡更任务的执行时间及重复周期，可自定义指示灯闪烁间隔时间0-30s。</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9.支持后台换肤功能，可根据喜好自由切换皮肤主题；后台软件支持对终端进行远程固件升级。</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10.支持广播、对讲、实时采集、终端监听进行录音；支持文本广播功能，可实现将文本转成语音，支持后台调整语速、设置男声或女声功能；支持电子地图功能，可实现在地图上实时显示终端状态。</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11.支持对8路功率分区终端进行功率控制分区设置，通过web页面后台或分控客户端均可轻松设置分区。</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12.支持对终端设置时间显示配置，可设置0-6级别亮度值，可设置离线后不显示时间等模式。13.支持对终端设置不同的灯光模式，可分别自定义设置红灯亮、红灯灭、绿/蓝灯亮、绿/蓝灯灭时间0.1S-10S。14.为了使得终端设备在现场使用环境不同而调节修饰音效，要求网页登陆广播系统后台可对终端进行5段均衡器调节：可对终端进行80Hz、300Hz、1KHz、3KHz、10KHz频点的±16dB调节。</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惠威、菱声、博世、ITC、TOA、先科</w:t>
            </w:r>
          </w:p>
        </w:tc>
      </w:tr>
      <w:tr>
        <w:tblPrEx>
          <w:tblLayout w:type="fixed"/>
          <w:tblCellMar>
            <w:top w:w="0" w:type="dxa"/>
            <w:left w:w="108" w:type="dxa"/>
            <w:bottom w:w="0" w:type="dxa"/>
            <w:right w:w="108" w:type="dxa"/>
          </w:tblCellMar>
        </w:tblPrEx>
        <w:trPr>
          <w:trHeight w:val="69"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软件</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IP网络软件加密设备，软件注册使用加密狗方式，注册时可有效设定授权终端数量及使用时间期限。</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惠威、菱声、博世、ITC、TOA、先科</w:t>
            </w:r>
          </w:p>
        </w:tc>
      </w:tr>
      <w:tr>
        <w:tblPrEx>
          <w:tblLayout w:type="fixed"/>
          <w:tblCellMar>
            <w:top w:w="0" w:type="dxa"/>
            <w:left w:w="108" w:type="dxa"/>
            <w:bottom w:w="0" w:type="dxa"/>
            <w:right w:w="108" w:type="dxa"/>
          </w:tblCellMar>
        </w:tblPrEx>
        <w:trPr>
          <w:trHeight w:val="1478"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CD播放器</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1.吸入式机芯，防尘效果更好，使用寿命更长。</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2. 自动播放控制，全数码伺服。</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3.可播放：CD/VCD/MP3/DVD碟片。</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4.内置宽频高保真监听扬声器。</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5.内置MP3播放器，可读USB和SD卡。</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6.可通过面板按键或红外遥控器控制操作。</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惠威、菱声、博世、ITC、TOA、先科</w:t>
            </w:r>
          </w:p>
        </w:tc>
      </w:tr>
      <w:tr>
        <w:tblPrEx>
          <w:tblLayout w:type="fixed"/>
          <w:tblCellMar>
            <w:top w:w="0" w:type="dxa"/>
            <w:left w:w="108" w:type="dxa"/>
            <w:bottom w:w="0" w:type="dxa"/>
            <w:right w:w="108" w:type="dxa"/>
          </w:tblCellMar>
        </w:tblPrEx>
        <w:trPr>
          <w:trHeight w:val="202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前置放大器</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1具有5路话筒（MIC）输入，3路标准信号线路（AUX）输入，2路紧急线路（EMC）输入；</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2.第5个话筒（MIC5）具有最高优先、强行切入优先功能；MIC5和EMC最高优先权限功能可通过拔动开关交替选择；</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3.4路紧急输入线路具有二级优先，强行切入优先功能；</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4.MIC1.2.3.4.5 和2路紧急输入（EMC）通道均附设有线路辅助输入接口功能；</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5.具有默音深度调节旋钮和EMC输入增益调节旋钮。</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惠威、菱声、博世、ITC、TOA、先科</w:t>
            </w:r>
          </w:p>
        </w:tc>
      </w:tr>
      <w:tr>
        <w:tblPrEx>
          <w:tblLayout w:type="fixed"/>
          <w:tblCellMar>
            <w:top w:w="0" w:type="dxa"/>
            <w:left w:w="108" w:type="dxa"/>
            <w:bottom w:w="0" w:type="dxa"/>
            <w:right w:w="108" w:type="dxa"/>
          </w:tblCellMar>
        </w:tblPrEx>
        <w:trPr>
          <w:trHeight w:val="156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IP网络音频采集终端</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1.采集设备支持将模拟音频采集编码成数字音频，具有1路RJ45网络接口，支持定时采播任务、临时采播任务功能。</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2.具有≥2组RCA音频输入接口，支持音量调节功能。</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3.采播任务支持3种采集音质可选，支持普通、中级、高级音质选择模式。</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4.支持通过后台软件对终端进行远程固件升级。</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5.频率响应范围80Hz～14KHz，信噪比&gt;65dB，谐波失真≤0.3%，支持MP3音频格式。</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惠威、菱声、博世、ITC、TOA、先科</w:t>
            </w:r>
          </w:p>
        </w:tc>
      </w:tr>
      <w:tr>
        <w:tblPrEx>
          <w:tblLayout w:type="fixed"/>
          <w:tblCellMar>
            <w:top w:w="0" w:type="dxa"/>
            <w:left w:w="108" w:type="dxa"/>
            <w:bottom w:w="0" w:type="dxa"/>
            <w:right w:w="108" w:type="dxa"/>
          </w:tblCellMar>
        </w:tblPrEx>
        <w:trPr>
          <w:trHeight w:val="4808"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IP网络寻呼</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1.采用话筒桌面式设计，带有7英寸显示屏，带触摸控制功能；显示屏自带数字键、功能键，支持通过触摸呼叫广播，支持呼叫分区及多个分区，呼叫全区广播；可支持10个按键自定义一键呼叫广播功能。</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2.内置1路网络硬件音频解码模块，具有1路RJ45网络接口，100Mbps传输速率。</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3.支持监听任意终端功能，内置2W全频高保真扬声器，实现双向通话和网络监听。</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4.支持1路音频线路输入，支持采集播放功能；具有1路音频线路输出，可外接功率放大器。</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5.支持直接操作呼叫或对讲任意终端，支持通过话筒广播呼叫功能，广播延时低于100毫秒。</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6.支持多种呼叫策略，包括呼叫等待、呼叫转移、无人接听提醒；自动接听、手动接听，支持自定义接听提示音，支持转移时间、无人接听时间、呼叫等待时间自定义。</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7.具有1个3.5耳机接口、1路3.5话筒输入接口。</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8.具有1路短路输出接口、1路短路输入接口。</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9.支持通过后台软件对终端进行远程固件升级。</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10.信噪比＞65dB，总偕波失真≤1%，LIEN OUT频率响应：80Hz～16KHz，输出电平：1000mV。</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惠威、菱声、博世、ITC、TOA、先科</w:t>
            </w:r>
          </w:p>
        </w:tc>
      </w:tr>
      <w:tr>
        <w:tblPrEx>
          <w:tblLayout w:type="fixed"/>
          <w:tblCellMar>
            <w:top w:w="0" w:type="dxa"/>
            <w:left w:w="108" w:type="dxa"/>
            <w:bottom w:w="0" w:type="dxa"/>
            <w:right w:w="108" w:type="dxa"/>
          </w:tblCellMar>
        </w:tblPrEx>
        <w:trPr>
          <w:trHeight w:val="1921"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IP消防报警采集器</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1.设备用于采集消防报警短路信号，机柜式设计。</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2.具有1路RJ45网络接口，100Mbps传输速率，支持通过后台软件对终端进行远程固件升级。</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3.支持≥16路消防短路输入接口，支持后台设置报警策略，可为每路短路信号输入端口配置报警策略，关联联动的终端及播放曲目等功能。4.支持通过面板一键取消任务。</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惠威、菱声、博世、ITC、TOA、先科</w:t>
            </w:r>
          </w:p>
        </w:tc>
      </w:tr>
      <w:tr>
        <w:tblPrEx>
          <w:tblLayout w:type="fixed"/>
          <w:tblCellMar>
            <w:top w:w="0" w:type="dxa"/>
            <w:left w:w="108" w:type="dxa"/>
            <w:bottom w:w="0" w:type="dxa"/>
            <w:right w:w="108" w:type="dxa"/>
          </w:tblCellMar>
        </w:tblPrEx>
        <w:trPr>
          <w:trHeight w:val="557"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节目定时器</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1.标准机柜式设计，设有十路可编辑定时控制电源，最大用电量2500W。</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2.大屏幕液晶显示屏，图形化界面，操作简单。可显示10路电源状态指示、日期、星期、时间、下一步程序的信息等。</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3.具备1路钟声输出接口，1路报警短路信号输入接口。</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4.具备1路触发控制短路信号输出接口，可触发报警器等设备。</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5.设有短路触发输出接口，可控制十六位电源时序器开关，扩展定时电源插座。</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6.支持将一星期内某一天的程序拷贝到其它的某一天或某几天。</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7.断电程序不丢失，来电自动恢复运行。</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8.存储容量大，可进行多步编程定时控制电源。</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惠威、菱声、博世、ITC、TOA、先科</w:t>
            </w:r>
          </w:p>
        </w:tc>
      </w:tr>
      <w:tr>
        <w:tblPrEx>
          <w:tblLayout w:type="fixed"/>
          <w:tblCellMar>
            <w:top w:w="0" w:type="dxa"/>
            <w:left w:w="108" w:type="dxa"/>
            <w:bottom w:w="0" w:type="dxa"/>
            <w:right w:w="108" w:type="dxa"/>
          </w:tblCellMar>
        </w:tblPrEx>
        <w:trPr>
          <w:trHeight w:val="3124"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IP网络终端功放</w:t>
            </w:r>
          </w:p>
        </w:tc>
        <w:tc>
          <w:tcPr>
            <w:tcW w:w="5660"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1.设备采用标准19英寸机架设计，带有≥3.4英寸LCD显示屏，支持红外遥控器点播服务器节目库任意内容，可控制播放/暂停。</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2.内置1路网络硬件音频解码模块，具有1路RJ45网络接口，100Mbps传输速率。</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3.支持1路线路输入和1路话筒输入接口，可独立调节音量；具有1路EMC输入接口，具有最高优先级；支高低音调节电位器控制；具有2路音频输出接口。</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4.具有1路三线制强切输出接口，无需强切电源。</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5.集成模拟功放，功率≥60W；支持定阻(4-16Ω)或定压（70V、100V）方式输出</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6.支持通过后台软件对终端进行远程固件升级。</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7.频率响应范围80Hz～16KHz，谐波失真≤1%，信噪比＞65dB。</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8.支持状态灯显示，包括电平指示灯、保护指示灯、待机指示灯等。</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惠威、菱声、博世、ITC、TOA、先科</w:t>
            </w:r>
          </w:p>
        </w:tc>
      </w:tr>
      <w:tr>
        <w:tblPrEx>
          <w:tblLayout w:type="fixed"/>
          <w:tblCellMar>
            <w:top w:w="0" w:type="dxa"/>
            <w:left w:w="108" w:type="dxa"/>
            <w:bottom w:w="0" w:type="dxa"/>
            <w:right w:w="108" w:type="dxa"/>
          </w:tblCellMar>
        </w:tblPrEx>
        <w:trPr>
          <w:trHeight w:val="1588"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机柜、机架</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名称:机柜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规格、型号:40U 600*800*2000(前后网孔门)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SPCC优质冷扎钢板制作;厚度:方孔条2.0mm,托盘2.0mm,安装梁1.5m,其他1.2mm;表面处理:脱脂、酸洗、磷化、静电喷塑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外观高贵典雅,工艺精湛、尺寸精密,媲美国际最高档网络服务器机柜,彰显优质机房工程形象</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图腾、融汇、普天等</w:t>
            </w:r>
          </w:p>
        </w:tc>
      </w:tr>
      <w:tr>
        <w:tblPrEx>
          <w:tblLayout w:type="fixed"/>
          <w:tblCellMar>
            <w:top w:w="0" w:type="dxa"/>
            <w:left w:w="108" w:type="dxa"/>
            <w:bottom w:w="0" w:type="dxa"/>
            <w:right w:w="108" w:type="dxa"/>
          </w:tblCellMar>
        </w:tblPrEx>
        <w:trPr>
          <w:trHeight w:val="90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交换机</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1.名称:交换机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2.类别:24个10/100/1000M自适应电口，4个100M/1G SFP光口，2个复用的10/100/1000M自适应电口，冗余电源，模块化双风扇</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华三、华为、思科</w:t>
            </w:r>
          </w:p>
        </w:tc>
      </w:tr>
      <w:tr>
        <w:tblPrEx>
          <w:tblLayout w:type="fixed"/>
          <w:tblCellMar>
            <w:top w:w="0" w:type="dxa"/>
            <w:left w:w="108" w:type="dxa"/>
            <w:bottom w:w="0" w:type="dxa"/>
            <w:right w:w="108" w:type="dxa"/>
          </w:tblCellMar>
        </w:tblPrEx>
        <w:trPr>
          <w:trHeight w:val="4848"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机柜式IP网络解码终端</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1.设备采用标准19英寸机架设计，4路PC机下载IP地址串口，用于修改网络解码模块IP地址；4路独立直观的双色LED状态灯，1路电源指示灯。</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2.具备≥1路线路（AUX）和≥1路话筒（MIC）输入接口，具有独立的音量调节；4路音频信号输出接口，可同时外接4台功率放大器，工业级接线端子。</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3.设备采用嵌入式计算机技术和DSP音频处理技术设计；采用高速工业级芯片，启动时间小于1秒钟；内置4路网络硬件音频解码模块，支持TCP/IP、UDP、IGMP(组播)协议，实现网络化传输16位CD音质的音频信号。</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4.支持远程媒体点播功能，节目点播支持英语教练播放模式(A-B复读)；支持手机WIFI点播，支持无线遥控器点播,支持PSTN电话广播，支持短信语音广播。  </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5.支持缄默强度预置减少功能，支持背景伴奏预置功能。</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6.具备有三线制音控强切输出接口，无需DC24V强切电源，且不限音控数量；4路独立通道和2路整合通道两种智能电源管理接口，并具有智能电源管理，无音乐或呼叫时，自动切断级联功放电源，进入待机状态，且具有编程打开输出电源功能。</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7.内置MDI/MDIX自动交换协议的交换机；具备双网络接口。</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8.输出频率：80Hz～16KHz，谐波失真≤0.3%，信噪比＞70dB。</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惠威、菱声、博世、ITC、TOA、先科</w:t>
            </w:r>
          </w:p>
        </w:tc>
      </w:tr>
      <w:tr>
        <w:tblPrEx>
          <w:tblLayout w:type="fixed"/>
          <w:tblCellMar>
            <w:top w:w="0" w:type="dxa"/>
            <w:left w:w="108" w:type="dxa"/>
            <w:bottom w:w="0" w:type="dxa"/>
            <w:right w:w="108" w:type="dxa"/>
          </w:tblCellMar>
        </w:tblPrEx>
        <w:trPr>
          <w:trHeight w:val="1139"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室内壁挂音箱</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1.室内壁挂音箱，流线型外观，声音辐射角度大，采用全频设计；适用于学校、酒店、宾馆、超市等。</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1．额定功率（100V）：6W</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2．额定功率（70V）：3W</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3．灵敏度≥89dB</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4．频率响应：130-16KHz</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5．喇叭单元：6.5"</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6．防护等级：IP×5防尘</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惠威、菱声、博世、ITC、TOA、先科</w:t>
            </w:r>
          </w:p>
        </w:tc>
      </w:tr>
      <w:tr>
        <w:tblPrEx>
          <w:tblLayout w:type="fixed"/>
          <w:tblCellMar>
            <w:top w:w="0" w:type="dxa"/>
            <w:left w:w="108" w:type="dxa"/>
            <w:bottom w:w="0" w:type="dxa"/>
            <w:right w:w="108" w:type="dxa"/>
          </w:tblCellMar>
        </w:tblPrEx>
        <w:trPr>
          <w:trHeight w:val="119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一体化优质天花喇叭</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1.额定功率：(100V)1.5W,3W,6W</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2.额定功率：(70V)0.75W,1.5W,3W</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3.灵敏度)≥92dB</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4.频率响应(-10dB)：110-18KHz</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5.喇叭单元：5"×1</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惠威、菱声、博世、ITC、TOA、先科</w:t>
            </w:r>
          </w:p>
        </w:tc>
      </w:tr>
      <w:tr>
        <w:tblPrEx>
          <w:tblLayout w:type="fixed"/>
          <w:tblCellMar>
            <w:top w:w="0" w:type="dxa"/>
            <w:left w:w="108" w:type="dxa"/>
            <w:bottom w:w="0" w:type="dxa"/>
            <w:right w:w="108" w:type="dxa"/>
          </w:tblCellMar>
        </w:tblPrEx>
        <w:trPr>
          <w:trHeight w:val="765" w:hRule="atLeast"/>
        </w:trPr>
        <w:tc>
          <w:tcPr>
            <w:tcW w:w="1006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五、显示屏系统</w:t>
            </w:r>
          </w:p>
        </w:tc>
      </w:tr>
      <w:tr>
        <w:tblPrEx>
          <w:tblLayout w:type="fixed"/>
          <w:tblCellMar>
            <w:top w:w="0" w:type="dxa"/>
            <w:left w:w="108" w:type="dxa"/>
            <w:bottom w:w="0" w:type="dxa"/>
            <w:right w:w="108" w:type="dxa"/>
          </w:tblCellMar>
        </w:tblPrEx>
        <w:trPr>
          <w:trHeight w:val="55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0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参数要求</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单位</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工程量</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建议品牌</w:t>
            </w:r>
          </w:p>
        </w:tc>
      </w:tr>
      <w:tr>
        <w:tblPrEx>
          <w:tblLayout w:type="fixed"/>
          <w:tblCellMar>
            <w:top w:w="0" w:type="dxa"/>
            <w:left w:w="108" w:type="dxa"/>
            <w:bottom w:w="0" w:type="dxa"/>
            <w:right w:w="108" w:type="dxa"/>
          </w:tblCellMar>
        </w:tblPrEx>
        <w:trPr>
          <w:trHeight w:val="188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篮球场馆专业显示设备</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1、结构说明：像素点采用1红1蓝1绿三合一；安装方式：钢挂贴墙式安装</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2、★室内 P3全彩单元板显示效果更加清晰细腻、分辨率可达到 1080P 以上；实现高刷新率、高灰阶及较高灯管利用率；无残影、防“毛毛虫” 、低功耗、低突波等-1R1G1B-SMD2020黑灯</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3、模组尺寸：192mm*192mm ，模组分辨率64点×64点；整屏分辨率：XX点*XX点=XX点 ，显示尺寸面积：XXm×XXm= XX㎡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4、驱动器件：采用LED专用恒流驱动-高刷新高灰阶。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5、像素失控率：&lt;0.0001；</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6、像素点间距：≤3mm ；最佳视角：水平≥165°，垂直≥165°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7、物理密度：≥111111点/㎡</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8、刷新频率：≥3900Hz；</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9、最大对比度：5213：1</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10、校正后白平衡亮度：≥730cd/m2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11、 亮度均匀性   ：≤1.1%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12、亮度调节方式：亮度调节0~100%可调；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13、★平均无故障时间：≥10000小时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14、平整度：任意相邻像素间≤0.12mm；</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15、工作电压：AC380V(三相五线制)或220v±10％,50HZ，包含配套电源。</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16、每平米平均功耗：≤420W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17、控制软件：专用软件及系统软件</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18、采用恒流方式驱动 LED，发光均匀，功耗低</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19、控制系统采用：同步系统</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利亚德、强力、海康</w:t>
            </w:r>
          </w:p>
        </w:tc>
      </w:tr>
      <w:tr>
        <w:tblPrEx>
          <w:tblLayout w:type="fixed"/>
          <w:tblCellMar>
            <w:top w:w="0" w:type="dxa"/>
            <w:left w:w="108" w:type="dxa"/>
            <w:bottom w:w="0" w:type="dxa"/>
            <w:right w:w="108" w:type="dxa"/>
          </w:tblCellMar>
        </w:tblPrEx>
        <w:trPr>
          <w:trHeight w:val="1877"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CBA篮球赛专用软件</w:t>
            </w:r>
          </w:p>
        </w:tc>
        <w:tc>
          <w:tcPr>
            <w:tcW w:w="5660" w:type="dxa"/>
            <w:tcBorders>
              <w:top w:val="nil"/>
              <w:left w:val="nil"/>
              <w:bottom w:val="single" w:color="auto" w:sz="4" w:space="0"/>
              <w:right w:val="single" w:color="auto" w:sz="4" w:space="0"/>
            </w:tcBorders>
            <w:shd w:val="clear" w:color="000000" w:fill="FFFFFF"/>
            <w:vAlign w:val="center"/>
          </w:tcPr>
          <w:p>
            <w:pPr>
              <w:spacing w:line="276"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篮球比赛采用CBA专用比赛软件，符合国家最新的体育比赛要求。采用CBA指定比赛计时器，电子显示屏计时、计分系统可直接与网络连接，裁判员在裁判席上可直接、快速、简便、实时地操作电脑、时间控制</w:t>
            </w:r>
            <w:r>
              <w:rPr>
                <w:rFonts w:hint="eastAsia" w:ascii="宋体" w:hAnsi="宋体" w:eastAsia="宋体" w:cs="宋体"/>
                <w:kern w:val="0"/>
                <w:sz w:val="18"/>
                <w:szCs w:val="18"/>
              </w:rPr>
              <w:t>器及24秒控制器，屏上实时显示比赛的计时、计分情况。并且可以向电视转播车提供比赛时间信号，以便于电视实况转播。操作简便，方便维护。</w:t>
            </w:r>
            <w:r>
              <w:rPr>
                <w:rFonts w:hint="eastAsia" w:ascii="宋体" w:hAnsi="宋体" w:eastAsia="宋体" w:cs="宋体"/>
                <w:color w:val="000000"/>
                <w:kern w:val="0"/>
                <w:sz w:val="18"/>
                <w:szCs w:val="18"/>
              </w:rPr>
              <w:t>可显示各类比赛的运动员名次、号码、姓名、成绩及简单介绍，历届重大国际国内比赛的最好成绩和相关内容。同时还可依据竞赛组委会的要求显示标语、口号，显示比赛赞助单位的情况简介及其产品宣传广告等功能。在操作比分窗口时显示窗口的各项比分会随着你的操作而实时在变化。比赛时可以显示比赛时间，显示比赛中的各种技术统计数据，如个人犯规次数、个人得分、犯规累计、暂停次数、比赛的节次、总比分、开发球的方向等。</w:t>
            </w:r>
          </w:p>
          <w:p>
            <w:pPr>
              <w:spacing w:line="276"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可支持多种体育比赛，可满足室内国内体育比赛使用要求</w:t>
            </w:r>
          </w:p>
          <w:p>
            <w:pPr>
              <w:spacing w:line="276"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★提供体育比赛软件证明</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斯伯丁、天梭、金陵</w:t>
            </w:r>
          </w:p>
        </w:tc>
      </w:tr>
      <w:tr>
        <w:tblPrEx>
          <w:tblLayout w:type="fixed"/>
          <w:tblCellMar>
            <w:top w:w="0" w:type="dxa"/>
            <w:left w:w="108" w:type="dxa"/>
            <w:bottom w:w="0" w:type="dxa"/>
            <w:right w:w="108" w:type="dxa"/>
          </w:tblCellMar>
        </w:tblPrEx>
        <w:trPr>
          <w:trHeight w:val="735" w:hRule="atLeast"/>
        </w:trPr>
        <w:tc>
          <w:tcPr>
            <w:tcW w:w="1006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六、通风排烟系统</w:t>
            </w:r>
          </w:p>
        </w:tc>
      </w:tr>
      <w:tr>
        <w:tblPrEx>
          <w:tblLayout w:type="fixed"/>
          <w:tblCellMar>
            <w:top w:w="0" w:type="dxa"/>
            <w:left w:w="108" w:type="dxa"/>
            <w:bottom w:w="0" w:type="dxa"/>
            <w:right w:w="108" w:type="dxa"/>
          </w:tblCellMar>
        </w:tblPrEx>
        <w:trPr>
          <w:trHeight w:val="57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0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5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项目特征</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单位</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数量</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建议品牌</w:t>
            </w:r>
          </w:p>
        </w:tc>
      </w:tr>
      <w:tr>
        <w:tblPrEx>
          <w:tblLayout w:type="fixed"/>
          <w:tblCellMar>
            <w:top w:w="0" w:type="dxa"/>
            <w:left w:w="108" w:type="dxa"/>
            <w:bottom w:w="0" w:type="dxa"/>
            <w:right w:w="108" w:type="dxa"/>
          </w:tblCellMar>
        </w:tblPrEx>
        <w:trPr>
          <w:trHeight w:val="112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轴流通风机</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1、名称：消防高温排烟风机PY-1</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2、型号：HTF-I-8</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3、规格：风量35000m3/h，功率11KW</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4、安装形式：落地安装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5、隔振垫安装</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112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轴流通风机</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1、名称：消防高温排烟风机PY-2</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2、型号：HTF-I-7</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3、规格：风量24380m3/h，功率7.5KW</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4、安装形式：落地安装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5、隔振垫安装</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112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轴流通风机</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1、名称：消防高温排烟风机PY-3</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2、型号：HTF-I-13</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3、规格：风量63370m3/h，功率18.5KW</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4、安装形式：落地安装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5、隔振垫安装</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557"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轴流通风机</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1、名称：消防高温排烟风机PY-4</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2、型号：HTF-I-11</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3、规格：风量53160m3/h，功率15KW</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4、安装形式：落地安装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5、隔振垫安装</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90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风扇</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称：排气扇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2、型 号：BPT120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3、风 量：120m3/h</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4、安装方式：吊顶式</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90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风扇</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称：排气扇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2、型 号：BPT200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3、风 量：200m3/h</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4、安装方式：吊顶式</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454"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风扇</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称：排气扇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2、型 号：BPT400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3、风 量：400m3/h</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4、安装方式：吊顶式</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90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风扇</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称：排气扇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2、型 号：BPT500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3、风 量：500m3/h</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4、安装方式：吊顶式</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112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碳钢通风管道</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称：镀锌板通风管道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 质：镀锌薄钢板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3、形 状：矩形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4、规 格：160*120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5、板材厚度：δ0.5</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2.06</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112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碳钢通风管道</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称：镀锌板通风管道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 质：镀锌薄钢板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3、形 状：矩形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4、规 格：250*120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5、板材厚度：δ0.75</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6.30</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112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碳钢通风管道</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称：镀锌板通风管道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 质：镀锌薄钢板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3、形 状：矩形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4、规 格：500*200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5、板材厚度：δ0.75</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30.86</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112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碳钢通风管道</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称：镀锌板通风管道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 质：镀锌薄钢板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3、形 状：矩形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4、规 格：630*250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5、板材厚度：δ1</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16.72</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112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碳钢通风管道</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称：镀锌板排烟管道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 质：镀锌薄钢板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3、形 状：矩形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4、规 格：800*250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5、板材厚度：δ1.5</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2.12</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112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碳钢通风管道</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称：镀锌板排烟管道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2、材 质：镀锌薄钢板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3、形 状：矩形</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4、规 格：800*800</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5、板材厚度：δ1.5</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1.41</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112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碳钢通风管道</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称：镀锌板排烟管道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 质：镀锌薄钢板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3、形 状：矩形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4、规 格：1000*250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5、板材厚度：δ1.5</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4.40</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112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碳钢通风管道</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称：镀锌板排烟管道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 质：镀锌薄钢板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3、形 状：矩形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4、规 格：1250*320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5、板材厚度：δ1.5</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9.80</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112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碳钢通风管道</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称：镀锌板排烟管道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 质：镀锌薄钢板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3、形 状：矩形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4、规 格：1250*630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5、板材厚度：δ1.5</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23.35</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112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碳钢通风管道</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称：镀锌板排烟管道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 质：镀锌薄钢板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3、形 状：矩形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4、规 格：1500*500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5、板材厚度：δ1.5</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112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碳钢通风管道</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称：镀锌板排烟管道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 质：镀锌薄钢板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3、形 状：矩形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4、规 格：1600*500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5、板材厚度：δ1.5</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15.54</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112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碳钢通风管道</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称：镀锌板排烟管道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 质：镀锌薄钢板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3、形 状：矩形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4、规 格：1600*630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5、板材厚度：δ1.5</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29.08</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112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碳钢通风管道</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称：镀锌板排烟管道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 质：镀锌薄钢板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3、形 状：矩形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4、规 格：1700*630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5、板材厚度：δ1.5</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98.33</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112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碳钢通风管道</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称：镀锌板排烟管道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 质：镀锌薄钢板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3、形 状：圆形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4、规 格：直径1000以下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5、板材厚度：δ1.5</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3.77</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112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碳钢通风管道</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称：镀锌板排烟管道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 质：镀锌薄钢板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3、形 状：圆形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4、规 格：直径1250以下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5、板材厚度：δ1.5</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3.63</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1125"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碳钢通风管道</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称：镀锌板排烟管道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 质：镀锌薄钢板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3、形 状：圆形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4、规 格：直径2000以下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5、板材厚度：δ1.5</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5.10</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75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柔性软风管</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称：耐火铝箔软管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 格：φ100</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4.99</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75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柔性接口</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称:软接口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 质:硅钛合钢耐高温软接头</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2.04</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75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碳钢阀门</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称：防火调节阀（280℃）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 格：800*250</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75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碳钢阀门</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称：防火调节阀（280℃）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 格：800*800</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75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碳钢阀门</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称：防火调节阀（280℃）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 格：1000*250</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75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碳钢阀门</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称：防火调节阀（280℃）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 格：1250*320</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75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碳钢阀门</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称：防火调节阀（280℃）</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2、规 格：1250*630</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75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碳钢阀门</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称：防火调节阀（280℃）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 格：1600*500</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75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碳钢阀门</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称：防火调节阀（280℃）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 格：1600*630</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75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碳钢阀门</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称：防火调节阀（280℃）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 格：1700*630</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75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铝及铝合金风口、散流器</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称:铝合金单层百叶排烟口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 格：1000*1000</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75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铝及铝合金风口、散流器</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称:铝合金单层百叶排烟口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 格：1500*1500</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75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铝及铝合金风口、散流器</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称:铝合金单层百叶排烟口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 格：1600*1600</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75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铝及铝合金风口、散流器</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1.电动多叶排烟口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2.630*（630+250）</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75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铝及铝合金风口、散流器</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1.电动多叶排烟口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2.800*（800+250）</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75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铝及铝合金风口、散流器</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1.电动多叶排烟口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2.500*（1250+250）</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75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铝及铝合金风口、散流器</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称:铝合金单层防雨百叶风口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 格：500*200</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75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铝及铝合金风口、散流器</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 称:铝合金单层防雨百叶风口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 格：630*320</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75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铝及铝合金风口、散流器</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风机防虫网罩</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75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设备支吊架</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1、设备支架制作安装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2、支架除锈：支架除轻锈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3、防腐刷油：刷红丹防锈漆2遍、银粉漆2遍</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Kg</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浙江明新、上虞专通、上虞大三角</w:t>
            </w:r>
          </w:p>
        </w:tc>
      </w:tr>
      <w:tr>
        <w:tblPrEx>
          <w:tblLayout w:type="fixed"/>
          <w:tblCellMar>
            <w:top w:w="0" w:type="dxa"/>
            <w:left w:w="108" w:type="dxa"/>
            <w:bottom w:w="0" w:type="dxa"/>
            <w:right w:w="108" w:type="dxa"/>
          </w:tblCellMar>
        </w:tblPrEx>
        <w:trPr>
          <w:trHeight w:val="75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5</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热水系统</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12P循环式热水机，圆形保温水箱（8吨），循环加热水泵Q=7.5m3/h H=10m，供水增压泵Q=4m3/h H=20m，系统电控箱(定温补水、室外型，防雨、防雷、防潮)，包含PP-R热水管，阀门及所有配件，主机调试及线缆</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欧特斯、格力、生能</w:t>
            </w:r>
          </w:p>
        </w:tc>
      </w:tr>
      <w:tr>
        <w:tblPrEx>
          <w:tblLayout w:type="fixed"/>
          <w:tblCellMar>
            <w:top w:w="0" w:type="dxa"/>
            <w:left w:w="108" w:type="dxa"/>
            <w:bottom w:w="0" w:type="dxa"/>
            <w:right w:w="108" w:type="dxa"/>
          </w:tblCellMar>
        </w:tblPrEx>
        <w:trPr>
          <w:trHeight w:val="75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46</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通风工程检测、 调试</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通风空调系统调试费</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90" w:hRule="atLeast"/>
        </w:trPr>
        <w:tc>
          <w:tcPr>
            <w:tcW w:w="1006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七、其他费用</w:t>
            </w:r>
          </w:p>
        </w:tc>
      </w:tr>
      <w:tr>
        <w:tblPrEx>
          <w:tblLayout w:type="fixed"/>
          <w:tblCellMar>
            <w:top w:w="0" w:type="dxa"/>
            <w:left w:w="108" w:type="dxa"/>
            <w:bottom w:w="0" w:type="dxa"/>
            <w:right w:w="108" w:type="dxa"/>
          </w:tblCellMar>
        </w:tblPrEx>
        <w:trPr>
          <w:trHeight w:val="810" w:hRule="atLeast"/>
        </w:trPr>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施工服务费</w:t>
            </w:r>
          </w:p>
        </w:tc>
        <w:tc>
          <w:tcPr>
            <w:tcW w:w="56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包含所有设备安装调试及管线预埋施工、敷设等</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Layout w:type="fixed"/>
          <w:tblCellMar>
            <w:top w:w="0" w:type="dxa"/>
            <w:left w:w="108" w:type="dxa"/>
            <w:bottom w:w="0" w:type="dxa"/>
            <w:right w:w="108" w:type="dxa"/>
          </w:tblCellMar>
        </w:tblPrEx>
        <w:trPr>
          <w:trHeight w:val="810" w:hRule="atLeast"/>
        </w:trPr>
        <w:tc>
          <w:tcPr>
            <w:tcW w:w="6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2</w:t>
            </w:r>
          </w:p>
        </w:tc>
        <w:tc>
          <w:tcPr>
            <w:tcW w:w="102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运营商专线</w:t>
            </w:r>
          </w:p>
        </w:tc>
        <w:tc>
          <w:tcPr>
            <w:tcW w:w="566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用于监控系统与网络系统中的内网部分，需与我单位现有系统对接需。带宽要求1000</w:t>
            </w:r>
            <w:r>
              <w:rPr>
                <w:rFonts w:ascii="宋体" w:hAnsi="宋体" w:eastAsia="宋体" w:cs="宋体"/>
                <w:color w:val="000000"/>
                <w:kern w:val="0"/>
                <w:sz w:val="18"/>
                <w:szCs w:val="18"/>
              </w:rPr>
              <w:t>M</w:t>
            </w:r>
            <w:r>
              <w:rPr>
                <w:rFonts w:hint="eastAsia" w:ascii="宋体" w:hAnsi="宋体" w:eastAsia="宋体" w:cs="宋体"/>
                <w:color w:val="000000"/>
                <w:kern w:val="0"/>
                <w:sz w:val="18"/>
                <w:szCs w:val="18"/>
              </w:rPr>
              <w:t>以上，含1年费用。</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条</w:t>
            </w:r>
          </w:p>
        </w:tc>
        <w:tc>
          <w:tcPr>
            <w:tcW w:w="85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810" w:hRule="atLeast"/>
        </w:trPr>
        <w:tc>
          <w:tcPr>
            <w:tcW w:w="6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3</w:t>
            </w:r>
          </w:p>
        </w:tc>
        <w:tc>
          <w:tcPr>
            <w:tcW w:w="102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互联网专线</w:t>
            </w:r>
          </w:p>
        </w:tc>
        <w:tc>
          <w:tcPr>
            <w:tcW w:w="566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带宽100</w:t>
            </w:r>
            <w:r>
              <w:rPr>
                <w:rFonts w:ascii="宋体" w:hAnsi="宋体" w:eastAsia="宋体" w:cs="宋体"/>
                <w:color w:val="000000"/>
                <w:kern w:val="0"/>
                <w:sz w:val="18"/>
                <w:szCs w:val="18"/>
              </w:rPr>
              <w:t>M</w:t>
            </w:r>
            <w:r>
              <w:rPr>
                <w:rFonts w:hint="eastAsia" w:ascii="宋体" w:hAnsi="宋体" w:eastAsia="宋体" w:cs="宋体"/>
                <w:color w:val="000000"/>
                <w:kern w:val="0"/>
                <w:sz w:val="18"/>
                <w:szCs w:val="18"/>
              </w:rPr>
              <w:t>，上下行对称。用于网络系统中的无线覆盖，含1年费用。</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条</w:t>
            </w:r>
          </w:p>
        </w:tc>
        <w:tc>
          <w:tcPr>
            <w:tcW w:w="85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810" w:hRule="atLeast"/>
        </w:trPr>
        <w:tc>
          <w:tcPr>
            <w:tcW w:w="6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4</w:t>
            </w:r>
          </w:p>
        </w:tc>
        <w:tc>
          <w:tcPr>
            <w:tcW w:w="102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税费</w:t>
            </w:r>
          </w:p>
        </w:tc>
        <w:tc>
          <w:tcPr>
            <w:tcW w:w="566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本项目需提供9%施工服务的增值税专用发票</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5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34"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pStyle w:val="2"/>
        <w:sectPr>
          <w:pgSz w:w="11906" w:h="16838"/>
          <w:pgMar w:top="1361" w:right="1361" w:bottom="1361" w:left="1361" w:header="851" w:footer="992" w:gutter="0"/>
          <w:cols w:space="425" w:num="1"/>
          <w:docGrid w:linePitch="312" w:charSpace="0"/>
        </w:sectPr>
      </w:pPr>
    </w:p>
    <w:p>
      <w:pPr>
        <w:spacing w:line="360" w:lineRule="auto"/>
        <w:ind w:firstLine="361" w:firstLineChars="150"/>
        <w:rPr>
          <w:rFonts w:ascii="宋体" w:hAnsi="宋体" w:cs="宋体"/>
          <w:b/>
          <w:color w:val="000000"/>
          <w:kern w:val="0"/>
          <w:sz w:val="24"/>
        </w:rPr>
      </w:pPr>
      <w:bookmarkStart w:id="44" w:name="_Toc19880428"/>
      <w:r>
        <w:rPr>
          <w:rFonts w:hint="eastAsia" w:ascii="宋体" w:hAnsi="宋体" w:cs="宋体"/>
          <w:b/>
          <w:color w:val="000000"/>
          <w:kern w:val="0"/>
          <w:sz w:val="24"/>
        </w:rPr>
        <w:t>施工过程要对所有设备进行规划，对所有的光缆及网线规划，做到走线整齐美观，每根线缆有电脑打印标签，所有资料归档并交到国网浙江三门县供电有限公司，监控系统需对接我单位原有监控系统，网络系统需与我单位内网系统对接，</w:t>
      </w:r>
      <w:r>
        <w:rPr>
          <w:rFonts w:hint="eastAsia" w:ascii="宋体" w:hAnsi="宋体" w:cs="宋体"/>
          <w:b/>
          <w:bCs/>
          <w:color w:val="000000"/>
          <w:kern w:val="0"/>
          <w:sz w:val="24"/>
        </w:rPr>
        <w:t>对我单位机房配电和网络不熟悉的集成商请谨慎报价</w:t>
      </w:r>
      <w:r>
        <w:rPr>
          <w:rFonts w:hint="eastAsia" w:ascii="宋体" w:hAnsi="宋体" w:cs="宋体"/>
          <w:b/>
          <w:color w:val="000000"/>
          <w:kern w:val="0"/>
          <w:sz w:val="24"/>
        </w:rPr>
        <w:t>。</w:t>
      </w:r>
    </w:p>
    <w:p>
      <w:pPr>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以上每项参数均不可负偏离，</w:t>
      </w:r>
      <w:r>
        <w:rPr>
          <w:rFonts w:ascii="宋体" w:hAnsi="宋体" w:cs="宋体"/>
          <w:b/>
          <w:color w:val="000000"/>
          <w:kern w:val="0"/>
          <w:sz w:val="24"/>
        </w:rPr>
        <w:t>为保证产品质量能符合招标参数要求，中标单位需在</w:t>
      </w:r>
      <w:r>
        <w:rPr>
          <w:rFonts w:hint="eastAsia" w:ascii="宋体" w:hAnsi="宋体" w:cs="宋体"/>
          <w:b/>
          <w:color w:val="000000"/>
          <w:kern w:val="0"/>
          <w:sz w:val="24"/>
        </w:rPr>
        <w:t>签订合同前</w:t>
      </w:r>
      <w:r>
        <w:rPr>
          <w:rFonts w:ascii="宋体" w:hAnsi="宋体" w:cs="宋体"/>
          <w:b/>
          <w:color w:val="000000"/>
          <w:kern w:val="0"/>
          <w:sz w:val="24"/>
        </w:rPr>
        <w:t>提供招标参数当中所要求的产品检测报告</w:t>
      </w:r>
      <w:r>
        <w:rPr>
          <w:rFonts w:hint="eastAsia" w:ascii="宋体" w:hAnsi="宋体" w:cs="宋体"/>
          <w:b/>
          <w:color w:val="000000"/>
          <w:kern w:val="0"/>
          <w:sz w:val="24"/>
        </w:rPr>
        <w:t>及相关证书</w:t>
      </w:r>
      <w:r>
        <w:rPr>
          <w:rFonts w:ascii="宋体" w:hAnsi="宋体" w:cs="宋体"/>
          <w:b/>
          <w:color w:val="000000"/>
          <w:kern w:val="0"/>
          <w:sz w:val="24"/>
        </w:rPr>
        <w:t>复印件，并加盖原厂公章，否则当无效标处理，并上报至财政采监办处理。</w:t>
      </w:r>
    </w:p>
    <w:p>
      <w:pPr>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网络系统、无线系统、监控系统、显示屏系统</w:t>
      </w:r>
      <w:r>
        <w:rPr>
          <w:rFonts w:ascii="宋体" w:hAnsi="宋体" w:cs="宋体"/>
          <w:b/>
          <w:color w:val="000000"/>
          <w:kern w:val="0"/>
          <w:sz w:val="24"/>
        </w:rPr>
        <w:t>要求</w:t>
      </w:r>
      <w:r>
        <w:rPr>
          <w:rFonts w:hint="eastAsia" w:ascii="宋体" w:hAnsi="宋体" w:cs="宋体"/>
          <w:b/>
          <w:color w:val="000000"/>
          <w:kern w:val="0"/>
          <w:sz w:val="24"/>
        </w:rPr>
        <w:t>原厂三年</w:t>
      </w:r>
      <w:r>
        <w:rPr>
          <w:rFonts w:ascii="宋体" w:hAnsi="宋体" w:cs="宋体"/>
          <w:b/>
          <w:color w:val="000000"/>
          <w:kern w:val="0"/>
          <w:sz w:val="24"/>
        </w:rPr>
        <w:t>质保，中标单位需在</w:t>
      </w:r>
      <w:r>
        <w:rPr>
          <w:rFonts w:hint="eastAsia" w:ascii="宋体" w:hAnsi="宋体" w:cs="宋体"/>
          <w:b/>
          <w:color w:val="000000"/>
          <w:kern w:val="0"/>
          <w:sz w:val="24"/>
        </w:rPr>
        <w:t>签订合同前</w:t>
      </w:r>
      <w:r>
        <w:rPr>
          <w:rFonts w:ascii="宋体" w:hAnsi="宋体" w:cs="宋体"/>
          <w:b/>
          <w:color w:val="000000"/>
          <w:kern w:val="0"/>
          <w:sz w:val="24"/>
        </w:rPr>
        <w:t>提供原厂三年质保函，否则当无效标处理，并上报至财政采监办处理。</w:t>
      </w:r>
    </w:p>
    <w:p>
      <w:pPr>
        <w:spacing w:line="360" w:lineRule="auto"/>
        <w:ind w:firstLine="482" w:firstLineChars="200"/>
      </w:pPr>
      <w:r>
        <w:rPr>
          <w:rFonts w:ascii="宋体" w:hAnsi="宋体" w:cs="宋体"/>
          <w:b/>
          <w:color w:val="000000"/>
          <w:kern w:val="0"/>
          <w:sz w:val="24"/>
        </w:rPr>
        <w:t>售后服务：为保证良好的售后服务，本项目</w:t>
      </w:r>
      <w:r>
        <w:rPr>
          <w:rFonts w:hint="eastAsia" w:ascii="宋体" w:hAnsi="宋体" w:cs="宋体"/>
          <w:b/>
          <w:color w:val="000000"/>
          <w:kern w:val="0"/>
          <w:sz w:val="24"/>
        </w:rPr>
        <w:t>欢迎本地</w:t>
      </w:r>
      <w:r>
        <w:rPr>
          <w:rFonts w:ascii="宋体" w:hAnsi="宋体" w:cs="宋体"/>
          <w:b/>
          <w:color w:val="000000"/>
          <w:kern w:val="0"/>
          <w:sz w:val="24"/>
        </w:rPr>
        <w:t>供应商</w:t>
      </w:r>
      <w:r>
        <w:rPr>
          <w:rFonts w:hint="eastAsia" w:ascii="宋体" w:hAnsi="宋体" w:cs="宋体"/>
          <w:b/>
          <w:color w:val="000000"/>
          <w:kern w:val="0"/>
          <w:sz w:val="24"/>
        </w:rPr>
        <w:t>投标</w:t>
      </w:r>
      <w:r>
        <w:rPr>
          <w:rFonts w:ascii="宋体" w:hAnsi="宋体" w:cs="宋体"/>
          <w:b/>
          <w:color w:val="000000"/>
          <w:kern w:val="0"/>
          <w:sz w:val="24"/>
        </w:rPr>
        <w:t>，出现故障后，需</w:t>
      </w:r>
      <w:r>
        <w:rPr>
          <w:rFonts w:hint="eastAsia" w:ascii="宋体" w:hAnsi="宋体" w:cs="宋体"/>
          <w:b/>
          <w:color w:val="000000"/>
          <w:kern w:val="0"/>
          <w:sz w:val="24"/>
        </w:rPr>
        <w:t>要</w:t>
      </w:r>
      <w:r>
        <w:rPr>
          <w:rFonts w:ascii="宋体" w:hAnsi="宋体" w:cs="宋体"/>
          <w:b/>
          <w:color w:val="000000"/>
          <w:kern w:val="0"/>
          <w:sz w:val="24"/>
        </w:rPr>
        <w:t>1小时内</w:t>
      </w:r>
      <w:r>
        <w:rPr>
          <w:rFonts w:hint="eastAsia" w:ascii="宋体" w:hAnsi="宋体" w:cs="宋体"/>
          <w:b/>
          <w:color w:val="000000"/>
          <w:kern w:val="0"/>
          <w:sz w:val="24"/>
        </w:rPr>
        <w:t>现场</w:t>
      </w:r>
      <w:r>
        <w:rPr>
          <w:rFonts w:ascii="宋体" w:hAnsi="宋体" w:cs="宋体"/>
          <w:b/>
          <w:color w:val="000000"/>
          <w:kern w:val="0"/>
          <w:sz w:val="24"/>
        </w:rPr>
        <w:t>快速响应，如</w:t>
      </w:r>
      <w:r>
        <w:rPr>
          <w:rFonts w:hint="eastAsia" w:ascii="宋体" w:hAnsi="宋体" w:cs="宋体"/>
          <w:b/>
          <w:color w:val="000000"/>
          <w:kern w:val="0"/>
          <w:sz w:val="24"/>
        </w:rPr>
        <w:t>投标人注册地不具备1小时内到达现场的，采购人有权拒绝中标人</w:t>
      </w:r>
      <w:r>
        <w:rPr>
          <w:rFonts w:ascii="宋体" w:hAnsi="宋体" w:cs="宋体"/>
          <w:b/>
          <w:color w:val="000000"/>
          <w:kern w:val="0"/>
          <w:sz w:val="24"/>
        </w:rPr>
        <w:t>。</w:t>
      </w:r>
    </w:p>
    <w:p>
      <w:pPr>
        <w:pStyle w:val="4"/>
        <w:rPr>
          <w:rFonts w:hint="eastAsia"/>
          <w:color w:val="auto"/>
        </w:rPr>
      </w:pPr>
      <w:r>
        <w:rPr>
          <w:rFonts w:hint="eastAsia"/>
          <w:color w:val="auto"/>
        </w:rPr>
        <w:t>3.商务需求</w:t>
      </w:r>
      <w:bookmarkEnd w:id="44"/>
    </w:p>
    <w:p>
      <w:pPr>
        <w:spacing w:line="360" w:lineRule="auto"/>
        <w:ind w:right="703" w:rightChars="335"/>
        <w:rPr>
          <w:rFonts w:ascii="宋体" w:hAnsi="宋体"/>
          <w:b/>
          <w:snapToGrid w:val="0"/>
          <w:color w:val="auto"/>
          <w:sz w:val="24"/>
        </w:rPr>
      </w:pPr>
      <w:r>
        <w:rPr>
          <w:rFonts w:hint="eastAsia" w:ascii="宋体" w:hAnsi="宋体"/>
          <w:b/>
          <w:snapToGrid w:val="0"/>
          <w:color w:val="auto"/>
          <w:sz w:val="24"/>
        </w:rPr>
        <w:t>1、工期</w:t>
      </w:r>
    </w:p>
    <w:p>
      <w:pPr>
        <w:spacing w:line="360" w:lineRule="auto"/>
        <w:ind w:left="105" w:leftChars="50" w:right="703" w:rightChars="335" w:firstLine="480" w:firstLineChars="200"/>
        <w:rPr>
          <w:rFonts w:ascii="宋体" w:hAnsi="宋体"/>
          <w:color w:val="auto"/>
          <w:sz w:val="24"/>
        </w:rPr>
      </w:pPr>
      <w:r>
        <w:rPr>
          <w:rFonts w:hint="eastAsia" w:ascii="宋体" w:hAnsi="宋体"/>
          <w:color w:val="auto"/>
          <w:sz w:val="24"/>
        </w:rPr>
        <w:t>工期：60天。</w:t>
      </w:r>
    </w:p>
    <w:p>
      <w:pPr>
        <w:spacing w:line="360" w:lineRule="auto"/>
        <w:ind w:right="703" w:rightChars="335"/>
        <w:rPr>
          <w:rFonts w:ascii="宋体" w:hAnsi="宋体"/>
          <w:b/>
          <w:color w:val="auto"/>
          <w:sz w:val="24"/>
        </w:rPr>
      </w:pPr>
      <w:r>
        <w:rPr>
          <w:rFonts w:hint="eastAsia" w:ascii="宋体" w:hAnsi="宋体"/>
          <w:b/>
          <w:color w:val="auto"/>
          <w:sz w:val="24"/>
        </w:rPr>
        <w:t>2、质保期</w:t>
      </w:r>
    </w:p>
    <w:p>
      <w:pPr>
        <w:tabs>
          <w:tab w:val="left" w:pos="846"/>
        </w:tabs>
        <w:adjustRightInd w:val="0"/>
        <w:snapToGrid w:val="0"/>
        <w:spacing w:line="400" w:lineRule="exact"/>
        <w:ind w:right="703" w:rightChars="335" w:firstLine="480" w:firstLineChars="200"/>
        <w:rPr>
          <w:rFonts w:ascii="宋体" w:hAnsi="宋体"/>
          <w:color w:val="auto"/>
          <w:sz w:val="24"/>
        </w:rPr>
      </w:pPr>
      <w:r>
        <w:rPr>
          <w:rFonts w:hint="eastAsia" w:ascii="宋体" w:hAnsi="宋体"/>
          <w:color w:val="auto"/>
          <w:sz w:val="24"/>
        </w:rPr>
        <w:t>应提供整体设备、系统至少3年质保维护，保证软件在质保期内免费升级，达到该产品的全部功能；质保期满后，提供设备最优惠的维修保养及零配件供应价格。（招标文件中有其他规定的除外）。</w:t>
      </w:r>
    </w:p>
    <w:p>
      <w:pPr>
        <w:pStyle w:val="2"/>
        <w:numPr>
          <w:ilvl w:val="0"/>
          <w:numId w:val="0"/>
        </w:numPr>
        <w:ind w:leftChars="0"/>
        <w:rPr>
          <w:rFonts w:hint="eastAsia" w:hAnsi="宋体"/>
          <w:snapToGrid w:val="0"/>
          <w:color w:val="auto"/>
        </w:rPr>
      </w:pPr>
      <w:r>
        <w:rPr>
          <w:rFonts w:hint="eastAsia" w:ascii="宋体" w:hAnsi="宋体" w:cs="Times New Roman"/>
          <w:b/>
          <w:color w:val="auto"/>
          <w:kern w:val="2"/>
          <w:sz w:val="24"/>
          <w:szCs w:val="24"/>
          <w:lang w:val="en-US" w:eastAsia="zh-CN" w:bidi="ar-SA"/>
        </w:rPr>
        <w:t>3、</w:t>
      </w:r>
      <w:r>
        <w:rPr>
          <w:rFonts w:hint="eastAsia" w:ascii="宋体" w:hAnsi="宋体" w:eastAsia="宋体" w:cs="Times New Roman"/>
          <w:b/>
          <w:color w:val="auto"/>
          <w:kern w:val="2"/>
          <w:sz w:val="24"/>
          <w:szCs w:val="24"/>
          <w:lang w:val="en-US" w:eastAsia="zh-CN" w:bidi="ar-SA"/>
        </w:rPr>
        <w:t>付款方式</w:t>
      </w:r>
      <w:r>
        <w:rPr>
          <w:rFonts w:hint="eastAsia" w:ascii="宋体"/>
          <w:b/>
          <w:color w:val="auto"/>
        </w:rPr>
        <w:t>：</w:t>
      </w:r>
      <w:r>
        <w:rPr>
          <w:rFonts w:hint="eastAsia" w:hAnsi="宋体"/>
          <w:snapToGrid w:val="0"/>
          <w:color w:val="auto"/>
        </w:rPr>
        <w:t>工程验收合格后，一次性付清工程款；</w:t>
      </w:r>
    </w:p>
    <w:p>
      <w:pPr>
        <w:pStyle w:val="2"/>
        <w:rPr>
          <w:rFonts w:hint="eastAsia" w:hAnsi="宋体"/>
          <w:snapToGrid w:val="0"/>
        </w:rPr>
      </w:pPr>
    </w:p>
    <w:p>
      <w:pPr>
        <w:widowControl/>
        <w:jc w:val="left"/>
        <w:rPr>
          <w:rFonts w:hAnsi="宋体"/>
          <w:snapToGrid w:val="0"/>
          <w:sz w:val="24"/>
        </w:rPr>
      </w:pPr>
      <w:r>
        <w:rPr>
          <w:rFonts w:hAnsi="宋体"/>
          <w:snapToGrid w:val="0"/>
        </w:rPr>
        <w:br w:type="page"/>
      </w:r>
    </w:p>
    <w:p>
      <w:pPr>
        <w:pStyle w:val="3"/>
        <w:jc w:val="center"/>
        <w:rPr>
          <w:rFonts w:asciiTheme="majorEastAsia" w:hAnsiTheme="majorEastAsia" w:eastAsiaTheme="majorEastAsia"/>
        </w:rPr>
      </w:pPr>
      <w:bookmarkStart w:id="45" w:name="_Toc19880429"/>
      <w:r>
        <w:rPr>
          <w:rFonts w:hint="eastAsia" w:asciiTheme="majorEastAsia" w:hAnsiTheme="majorEastAsia" w:eastAsiaTheme="majorEastAsia"/>
        </w:rPr>
        <w:t>第五章政府采购合同主要条款指引</w:t>
      </w:r>
      <w:bookmarkEnd w:id="45"/>
    </w:p>
    <w:p>
      <w:pPr>
        <w:snapToGrid w:val="0"/>
        <w:spacing w:line="360" w:lineRule="auto"/>
        <w:jc w:val="center"/>
        <w:rPr>
          <w:rFonts w:ascii="宋体" w:hAnsi="宋体"/>
          <w:b/>
          <w:sz w:val="30"/>
          <w:szCs w:val="32"/>
        </w:rPr>
      </w:pPr>
      <w:r>
        <w:rPr>
          <w:rFonts w:hint="eastAsia" w:ascii="宋体" w:hAnsi="宋体"/>
          <w:b/>
          <w:sz w:val="30"/>
          <w:szCs w:val="32"/>
        </w:rPr>
        <w:t>三门县政府采购合同</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项目名称：</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项目编号：</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甲方：（</w:t>
      </w:r>
      <w:r>
        <w:rPr>
          <w:rFonts w:hint="eastAsia" w:asciiTheme="minorEastAsia" w:hAnsiTheme="minorEastAsia" w:eastAsiaTheme="minorEastAsia"/>
          <w:sz w:val="24"/>
        </w:rPr>
        <w:t>采购单位</w:t>
      </w:r>
      <w:r>
        <w:rPr>
          <w:rFonts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乙方：（</w:t>
      </w:r>
      <w:r>
        <w:rPr>
          <w:rFonts w:hint="eastAsia" w:asciiTheme="minorEastAsia" w:hAnsiTheme="minorEastAsia" w:eastAsiaTheme="minorEastAsia"/>
          <w:sz w:val="24"/>
        </w:rPr>
        <w:t>成交供应商</w:t>
      </w:r>
      <w:r>
        <w:rPr>
          <w:rFonts w:asciiTheme="minorEastAsia" w:hAnsiTheme="minorEastAsia" w:eastAsiaTheme="minorEastAsia"/>
          <w:sz w:val="24"/>
        </w:rPr>
        <w:t>）</w:t>
      </w:r>
    </w:p>
    <w:p>
      <w:pPr>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甲、乙双方根据甲中心关于</w:t>
      </w:r>
      <w:r>
        <w:rPr>
          <w:rFonts w:hint="eastAsia" w:asciiTheme="minorEastAsia" w:hAnsiTheme="minorEastAsia" w:eastAsiaTheme="minorEastAsia"/>
          <w:color w:val="000000"/>
          <w:kern w:val="0"/>
          <w:sz w:val="24"/>
          <w:u w:val="single"/>
        </w:rPr>
        <w:t xml:space="preserve">    </w:t>
      </w:r>
      <w:r>
        <w:rPr>
          <w:rFonts w:asciiTheme="minorEastAsia" w:hAnsiTheme="minorEastAsia" w:eastAsiaTheme="minorEastAsia"/>
          <w:sz w:val="24"/>
        </w:rPr>
        <w:t>单位</w:t>
      </w:r>
      <w:r>
        <w:rPr>
          <w:rFonts w:hint="eastAsia" w:asciiTheme="minorEastAsia" w:hAnsiTheme="minorEastAsia" w:eastAsiaTheme="minorEastAsia"/>
          <w:kern w:val="0"/>
          <w:sz w:val="24"/>
          <w:u w:val="single"/>
        </w:rPr>
        <w:t xml:space="preserve">    </w:t>
      </w:r>
      <w:r>
        <w:rPr>
          <w:rFonts w:asciiTheme="minorEastAsia" w:hAnsiTheme="minorEastAsia" w:eastAsiaTheme="minorEastAsia"/>
          <w:sz w:val="24"/>
        </w:rPr>
        <w:t>项目公开招标的结果，签署本合同。</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一、货物内容</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 货物名称：</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 型号规格：</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 技术参数：</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 xml:space="preserve"> 数量（单位）：</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二、合同金额</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 本合同金额为（大写）：_______________________元（￥_______________元）人民币。</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三、</w:t>
      </w:r>
      <w:r>
        <w:rPr>
          <w:rFonts w:hint="eastAsia" w:asciiTheme="minorEastAsia" w:hAnsiTheme="minorEastAsia" w:eastAsiaTheme="minorEastAsia"/>
          <w:b/>
          <w:sz w:val="24"/>
        </w:rPr>
        <w:t>合同组成：</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的合同文件包括下列附件：采购文件（包括采购补充文件），投标文件（包括投标补充文件），答疑纪要，询标纪要，中标通知书，合同履行中双方就有关问题协商达成的纪要或补充协议，项目技术文件（包括安装图纸、会议纪要、变更联系单等其他技术资料）等。所有附件与合同正本具有同等法律效力。</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四、</w:t>
      </w:r>
      <w:r>
        <w:rPr>
          <w:rFonts w:hint="eastAsia" w:asciiTheme="minorEastAsia" w:hAnsiTheme="minorEastAsia" w:eastAsiaTheme="minorEastAsia"/>
          <w:b/>
          <w:sz w:val="24"/>
        </w:rPr>
        <w:t>专利权</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应承诺保护采购人在使用合同产品或其任何一部分时不受第三方提出侵犯专利权、商标权和工业设计权等的起诉。如果任何第三方提出侵权指控，由供应商负责与第三方交涉并承担可能发生的一切费用和相关法律责任，采购人不承担由此引起的一切经济和法律责任。</w:t>
      </w:r>
    </w:p>
    <w:p>
      <w:pPr>
        <w:spacing w:line="360" w:lineRule="auto"/>
        <w:ind w:firstLine="482" w:firstLineChars="200"/>
        <w:rPr>
          <w:rFonts w:asciiTheme="minorEastAsia" w:hAnsiTheme="minorEastAsia" w:eastAsiaTheme="minorEastAsia"/>
          <w:sz w:val="24"/>
          <w:u w:val="single"/>
        </w:rPr>
      </w:pPr>
      <w:r>
        <w:rPr>
          <w:rFonts w:asciiTheme="minorEastAsia" w:hAnsiTheme="minorEastAsia" w:eastAsiaTheme="minorEastAsia"/>
          <w:b/>
          <w:sz w:val="24"/>
        </w:rPr>
        <w:t>五、产权担保</w:t>
      </w:r>
    </w:p>
    <w:p>
      <w:pPr>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乙方保证所交付的货物的所有权完全属于乙方且无任何抵押、查封等产权瑕疵。</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六、转包或分包</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.本合同范围的货物，应由</w:t>
      </w:r>
      <w:r>
        <w:rPr>
          <w:rFonts w:asciiTheme="minorEastAsia" w:hAnsiTheme="minorEastAsia" w:eastAsiaTheme="minorEastAsia"/>
          <w:sz w:val="24"/>
        </w:rPr>
        <w:t>乙</w:t>
      </w:r>
      <w:r>
        <w:rPr>
          <w:rFonts w:hint="eastAsia" w:asciiTheme="minorEastAsia" w:hAnsiTheme="minorEastAsia" w:eastAsiaTheme="minorEastAsia"/>
          <w:sz w:val="24"/>
        </w:rPr>
        <w:t>方直接供应，不得转让他人供应；</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.除非得到</w:t>
      </w:r>
      <w:r>
        <w:rPr>
          <w:rFonts w:asciiTheme="minorEastAsia" w:hAnsiTheme="minorEastAsia" w:eastAsiaTheme="minorEastAsia"/>
          <w:sz w:val="24"/>
        </w:rPr>
        <w:t>甲</w:t>
      </w:r>
      <w:r>
        <w:rPr>
          <w:rFonts w:hint="eastAsia" w:asciiTheme="minorEastAsia" w:hAnsiTheme="minorEastAsia" w:eastAsiaTheme="minorEastAsia"/>
          <w:sz w:val="24"/>
        </w:rPr>
        <w:t>方的书面同意，</w:t>
      </w:r>
      <w:r>
        <w:rPr>
          <w:rFonts w:asciiTheme="minorEastAsia" w:hAnsiTheme="minorEastAsia" w:eastAsiaTheme="minorEastAsia"/>
          <w:sz w:val="24"/>
        </w:rPr>
        <w:t>乙</w:t>
      </w:r>
      <w:r>
        <w:rPr>
          <w:rFonts w:hint="eastAsia" w:asciiTheme="minorEastAsia" w:hAnsiTheme="minorEastAsia" w:eastAsiaTheme="minorEastAsia"/>
          <w:sz w:val="24"/>
        </w:rPr>
        <w:t>方不得将本合同范围的货物全部或部分分包给他人供应；</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.如有转让和未经</w:t>
      </w:r>
      <w:r>
        <w:rPr>
          <w:rFonts w:asciiTheme="minorEastAsia" w:hAnsiTheme="minorEastAsia" w:eastAsiaTheme="minorEastAsia"/>
          <w:sz w:val="24"/>
        </w:rPr>
        <w:t>甲</w:t>
      </w:r>
      <w:r>
        <w:rPr>
          <w:rFonts w:hint="eastAsia" w:asciiTheme="minorEastAsia" w:hAnsiTheme="minorEastAsia" w:eastAsiaTheme="minorEastAsia"/>
          <w:sz w:val="24"/>
        </w:rPr>
        <w:t>方同意的分包行为，</w:t>
      </w:r>
      <w:r>
        <w:rPr>
          <w:rFonts w:asciiTheme="minorEastAsia" w:hAnsiTheme="minorEastAsia" w:eastAsiaTheme="minorEastAsia"/>
          <w:sz w:val="24"/>
        </w:rPr>
        <w:t>甲</w:t>
      </w:r>
      <w:r>
        <w:rPr>
          <w:rFonts w:hint="eastAsia" w:asciiTheme="minorEastAsia" w:hAnsiTheme="minorEastAsia" w:eastAsiaTheme="minorEastAsia"/>
          <w:sz w:val="24"/>
        </w:rPr>
        <w:t>方有权解除合同，没收履约保证金并追究乙方的违约责任。</w:t>
      </w:r>
    </w:p>
    <w:p>
      <w:pPr>
        <w:spacing w:line="360" w:lineRule="auto"/>
        <w:ind w:firstLine="241" w:firstLineChars="100"/>
        <w:jc w:val="left"/>
        <w:rPr>
          <w:rFonts w:asciiTheme="minorEastAsia" w:hAnsiTheme="minorEastAsia" w:eastAsiaTheme="minorEastAsia"/>
          <w:b/>
          <w:sz w:val="24"/>
        </w:rPr>
      </w:pPr>
      <w:r>
        <w:rPr>
          <w:rFonts w:hint="eastAsia" w:asciiTheme="minorEastAsia" w:hAnsiTheme="minorEastAsia" w:eastAsiaTheme="minorEastAsia"/>
          <w:b/>
          <w:sz w:val="24"/>
        </w:rPr>
        <w:t>七、验收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1、验收以采购文件和技术文件、投标文件、合同及安装技术要求为依据。</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供货安装完成后，中标供应商应该向采购人提交申请验收报告，并且提供主要货物的出厂合格证书（或报告）、检测报告等完整的技术档案资料，若中标供应商未能按照上述要求履行的，导致无法及时验收的，则须由中标供应商承担一切责任。</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3、验收必须符合国家、地方有关规范、标准及设计要求。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4、符合验收条件的，由采购人组织有关部门按照国家、地方有关规范、标准及设计要求进行验收。验收后中标供应商应按照验收中提出的意见整改。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5、整改完毕且复验合格后将本项目货物交给采购人使用，完成日期以通过复验日期为准。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采购人在中标供应商送货、安装、调试后对货物服务进行检查验收，如果发现数量不足或有质量、技术等问题，中标供应商应负责根据合同及采购人的要求采取补足或更换等处理措施，并承担由此发生的一切损失和费用。验收合格后，采购人在验收单上签字并加盖单位公章。</w:t>
      </w:r>
    </w:p>
    <w:p>
      <w:pPr>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八、质保期：</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九、</w:t>
      </w:r>
      <w:r>
        <w:rPr>
          <w:rFonts w:hint="eastAsia" w:asciiTheme="minorEastAsia" w:hAnsiTheme="minorEastAsia" w:eastAsiaTheme="minorEastAsia"/>
          <w:b/>
          <w:sz w:val="24"/>
        </w:rPr>
        <w:t>工期：</w:t>
      </w:r>
    </w:p>
    <w:p>
      <w:pPr>
        <w:spacing w:line="360" w:lineRule="auto"/>
        <w:ind w:firstLine="482" w:firstLineChars="200"/>
        <w:rPr>
          <w:rFonts w:asciiTheme="minorEastAsia" w:hAnsiTheme="minorEastAsia" w:eastAsiaTheme="minorEastAsia"/>
          <w:b/>
          <w:color w:val="000000"/>
          <w:sz w:val="24"/>
        </w:rPr>
      </w:pPr>
      <w:r>
        <w:rPr>
          <w:rFonts w:asciiTheme="minorEastAsia" w:hAnsiTheme="minorEastAsia" w:eastAsiaTheme="minorEastAsia"/>
          <w:b/>
          <w:color w:val="000000"/>
          <w:sz w:val="24"/>
        </w:rPr>
        <w:t>十、货款支付</w:t>
      </w:r>
      <w:r>
        <w:rPr>
          <w:rFonts w:hint="eastAsia" w:asciiTheme="minorEastAsia" w:hAnsiTheme="minorEastAsia" w:eastAsiaTheme="minorEastAsia"/>
          <w:b/>
          <w:color w:val="000000"/>
          <w:sz w:val="24"/>
        </w:rPr>
        <w:t>：</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十一、税费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w:t>
      </w:r>
      <w:r>
        <w:rPr>
          <w:rFonts w:asciiTheme="minorEastAsia" w:hAnsiTheme="minorEastAsia" w:eastAsiaTheme="minorEastAsia"/>
          <w:sz w:val="24"/>
        </w:rPr>
        <w:t>乙</w:t>
      </w:r>
      <w:r>
        <w:rPr>
          <w:rFonts w:hint="eastAsia" w:asciiTheme="minorEastAsia" w:hAnsiTheme="minorEastAsia" w:eastAsiaTheme="minorEastAsia"/>
          <w:sz w:val="24"/>
        </w:rPr>
        <w:t>方负担。</w:t>
      </w:r>
    </w:p>
    <w:p>
      <w:pPr>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十二、售后服务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中标供应商须提供从验收合格之日起，1年的免费质保期和1年的免费维修保养服务。供应商承诺超过本要求的，以优惠者为准。无论在质保期内还是质保期满后，中标供应商负责对其实施的项目提供现场服务。要求中标供应商在接到采购人的电话后2小时内响应，4小时内到达现场，并最迟在第2个工作日内排除故障，48小时内无法修复的，必须采取临时调换等措施，以保证采购人的正常使用。临时调换的设备要求不低于原有的设备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2、供应商若有其他服务承诺，也将一并执行。</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3、中标供应商必须将公司的服务热线明确告知采购人。</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三</w:t>
      </w:r>
      <w:r>
        <w:rPr>
          <w:rFonts w:asciiTheme="minorEastAsia" w:hAnsiTheme="minorEastAsia" w:eastAsiaTheme="minorEastAsia"/>
          <w:b/>
          <w:sz w:val="24"/>
        </w:rPr>
        <w:t>、货物包装、发运及运输</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乙方应在货物发运前对其进行满足运输距离、防潮、防震、防锈和防破损装卸等要求包装，以保证货物安全运达甲方指定地点。</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使用说明书、质量检验证明书、随配附件和工具以及清单一并附于货物内。</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 xml:space="preserve"> 乙方在货物发运手续办理完毕后24小时内或货到甲方48小时前通知甲方，以准备接货。</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 xml:space="preserve"> 货物在交付甲方前发生的风险均由乙方负责。</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w:t>
      </w:r>
      <w:r>
        <w:rPr>
          <w:rFonts w:asciiTheme="minorEastAsia" w:hAnsiTheme="minorEastAsia" w:eastAsiaTheme="minorEastAsia"/>
          <w:sz w:val="24"/>
        </w:rPr>
        <w:t xml:space="preserve"> 货物在规定的交付期限内由乙方送达甲方指定的地点视为交付，乙方同时需</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通知甲方货物已送达。</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四</w:t>
      </w:r>
      <w:r>
        <w:rPr>
          <w:rFonts w:asciiTheme="minorEastAsia" w:hAnsiTheme="minorEastAsia" w:eastAsiaTheme="minorEastAsia"/>
          <w:b/>
          <w:sz w:val="24"/>
        </w:rPr>
        <w:t>、违约责任</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甲方无正当理由拒收货物的，甲方向乙方偿付拒收货款总值的百分之五违约金。</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甲方无故逾期验收和办理货款支付手续的,甲方应按逾期付款总额每日万分之五向乙方支付违约金。</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五</w:t>
      </w:r>
      <w:r>
        <w:rPr>
          <w:rFonts w:asciiTheme="minorEastAsia" w:hAnsiTheme="minorEastAsia" w:eastAsiaTheme="minorEastAsia"/>
          <w:b/>
          <w:sz w:val="24"/>
        </w:rPr>
        <w:t>、不可抗力事件处理</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在合同有效期内，任何一方因不可抗力事件导致不能履行合同，则合同履行期可延长，其延长期与不可抗力影响期相同。</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不可抗力事件发生后，应立即通知对方，并寄送有关权威机构出具的证明。</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 xml:space="preserve"> 不可抗力事件延续120天以上，双方应通过友好协商，确定是否继续履行合同。</w:t>
      </w:r>
    </w:p>
    <w:p>
      <w:pPr>
        <w:autoSpaceDE w:val="0"/>
        <w:autoSpaceDN w:val="0"/>
        <w:adjustRightInd w:val="0"/>
        <w:spacing w:line="440" w:lineRule="exact"/>
        <w:ind w:firstLine="482"/>
        <w:rPr>
          <w:rFonts w:ascii="宋体" w:hAnsi="宋体" w:cs="宋体"/>
          <w:b/>
          <w:bCs/>
          <w:sz w:val="24"/>
          <w:lang w:val="zh-CN"/>
        </w:rPr>
      </w:pPr>
      <w:r>
        <w:rPr>
          <w:rFonts w:asciiTheme="minorEastAsia" w:hAnsiTheme="minorEastAsia" w:eastAsiaTheme="minorEastAsia"/>
          <w:b/>
          <w:sz w:val="24"/>
        </w:rPr>
        <w:t>十</w:t>
      </w:r>
      <w:r>
        <w:rPr>
          <w:rFonts w:hint="eastAsia" w:asciiTheme="minorEastAsia" w:hAnsiTheme="minorEastAsia" w:eastAsiaTheme="minorEastAsia"/>
          <w:b/>
          <w:sz w:val="24"/>
        </w:rPr>
        <w:t>六</w:t>
      </w:r>
      <w:r>
        <w:rPr>
          <w:rFonts w:asciiTheme="minorEastAsia" w:hAnsiTheme="minorEastAsia" w:eastAsiaTheme="minorEastAsia"/>
          <w:b/>
          <w:sz w:val="24"/>
        </w:rPr>
        <w:t>、</w:t>
      </w:r>
      <w:r>
        <w:rPr>
          <w:rFonts w:hint="eastAsia" w:ascii="宋体" w:hAnsi="宋体" w:cs="宋体"/>
          <w:b/>
          <w:bCs/>
          <w:sz w:val="24"/>
          <w:lang w:val="zh-CN"/>
        </w:rPr>
        <w:t>争议解决</w:t>
      </w:r>
    </w:p>
    <w:p>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rPr>
        <w:t>1、</w:t>
      </w:r>
      <w:r>
        <w:rPr>
          <w:rFonts w:hint="eastAsia" w:asciiTheme="minorEastAsia" w:hAnsiTheme="minorEastAsia" w:eastAsiaTheme="minorEastAsia"/>
          <w:sz w:val="24"/>
          <w:lang w:val="zh-CN"/>
        </w:rPr>
        <w:t>因执行本合同所发生的，或与本合同有关的一切争议，采购人与中标供应商双方应通过友好协商解决。</w:t>
      </w:r>
    </w:p>
    <w:p>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rPr>
        <w:t>2、</w:t>
      </w:r>
      <w:r>
        <w:rPr>
          <w:rFonts w:hint="eastAsia" w:asciiTheme="minorEastAsia" w:hAnsiTheme="minorEastAsia" w:eastAsiaTheme="minorEastAsia"/>
          <w:sz w:val="24"/>
          <w:lang w:val="zh-CN"/>
        </w:rPr>
        <w:t>如经协商仍不能解决争议时，可要求有关主管部门调解。如其中一方不愿调解或调解不成，可按下一种方式解决争议。</w:t>
      </w:r>
    </w:p>
    <w:p>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rPr>
        <w:t>3、</w:t>
      </w:r>
      <w:r>
        <w:rPr>
          <w:rFonts w:hint="eastAsia" w:asciiTheme="minorEastAsia" w:hAnsiTheme="minorEastAsia" w:eastAsiaTheme="minorEastAsia"/>
          <w:sz w:val="24"/>
          <w:lang w:val="zh-CN"/>
        </w:rPr>
        <w:t>双方达成仲裁协议，向采购人所在地的仲裁机构申请仲裁。</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hint="eastAsia" w:asciiTheme="minorEastAsia" w:hAnsiTheme="minorEastAsia" w:eastAsiaTheme="minorEastAsia"/>
          <w:sz w:val="24"/>
          <w:lang w:val="zh-CN"/>
        </w:rPr>
        <w:t>向有管辖权的人民法院起诉。</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七</w:t>
      </w:r>
      <w:r>
        <w:rPr>
          <w:rFonts w:asciiTheme="minorEastAsia" w:hAnsiTheme="minorEastAsia" w:eastAsiaTheme="minorEastAsia"/>
          <w:b/>
          <w:sz w:val="24"/>
        </w:rPr>
        <w:t>、合同生效及其它</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合同经双方法定代表人或授权代表签字并加盖单位公章后生效。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 </w:t>
      </w:r>
      <w:r>
        <w:rPr>
          <w:rFonts w:asciiTheme="minorEastAsia" w:hAnsiTheme="minorEastAsia" w:eastAsiaTheme="minorEastAsia"/>
          <w:sz w:val="24"/>
        </w:rPr>
        <w:t>本合同未尽事宜，遵照《合同法》有关条文执行。</w:t>
      </w:r>
    </w:p>
    <w:p>
      <w:p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sz w:val="24"/>
        </w:rPr>
        <w:t>3.</w:t>
      </w:r>
      <w:r>
        <w:rPr>
          <w:rFonts w:hint="eastAsia" w:asciiTheme="minorEastAsia" w:hAnsiTheme="minorEastAsia" w:eastAsiaTheme="minorEastAsia"/>
          <w:kern w:val="0"/>
          <w:sz w:val="24"/>
        </w:rPr>
        <w:t xml:space="preserve">  </w:t>
      </w:r>
      <w:r>
        <w:rPr>
          <w:rFonts w:hint="eastAsia" w:asciiTheme="minorEastAsia" w:hAnsiTheme="minorEastAsia" w:eastAsiaTheme="minorEastAsia"/>
          <w:b/>
          <w:sz w:val="24"/>
        </w:rPr>
        <w:t>本合同一式四份。甲、乙双方各执二份。本项目未尽事宜以招标文件及澄清文件等为准。</w:t>
      </w:r>
    </w:p>
    <w:p>
      <w:pPr>
        <w:widowControl/>
        <w:spacing w:line="360" w:lineRule="auto"/>
        <w:ind w:firstLine="482" w:firstLineChars="200"/>
        <w:rPr>
          <w:b/>
          <w:sz w:val="24"/>
        </w:rPr>
      </w:pPr>
    </w:p>
    <w:p>
      <w:pPr>
        <w:widowControl/>
        <w:spacing w:line="360" w:lineRule="auto"/>
        <w:ind w:firstLine="482" w:firstLineChars="200"/>
        <w:rPr>
          <w:b/>
          <w:sz w:val="24"/>
        </w:rPr>
      </w:pPr>
    </w:p>
    <w:p>
      <w:pPr>
        <w:spacing w:line="360" w:lineRule="auto"/>
        <w:ind w:firstLine="480" w:firstLineChars="200"/>
        <w:rPr>
          <w:sz w:val="24"/>
        </w:rPr>
      </w:pPr>
      <w:r>
        <w:rPr>
          <w:rFonts w:hint="eastAsia"/>
          <w:sz w:val="24"/>
        </w:rPr>
        <w:t>甲方（公章）                                     乙方（公章）</w:t>
      </w:r>
    </w:p>
    <w:p>
      <w:pPr>
        <w:spacing w:line="360" w:lineRule="auto"/>
        <w:ind w:firstLine="480" w:firstLineChars="200"/>
        <w:rPr>
          <w:sz w:val="24"/>
        </w:rPr>
      </w:pPr>
      <w:r>
        <w:rPr>
          <w:rFonts w:hint="eastAsia"/>
          <w:sz w:val="24"/>
        </w:rPr>
        <w:t>法定代表人：                                     法定代表人：</w:t>
      </w:r>
    </w:p>
    <w:p>
      <w:pPr>
        <w:spacing w:line="360" w:lineRule="auto"/>
        <w:ind w:firstLine="480" w:firstLineChars="200"/>
        <w:rPr>
          <w:sz w:val="24"/>
        </w:rPr>
      </w:pPr>
      <w:r>
        <w:rPr>
          <w:rFonts w:hint="eastAsia"/>
          <w:sz w:val="24"/>
        </w:rPr>
        <w:t>委托代理人：                                     委托代理人：</w:t>
      </w:r>
    </w:p>
    <w:p>
      <w:pPr>
        <w:spacing w:line="360" w:lineRule="auto"/>
        <w:ind w:firstLine="480" w:firstLineChars="200"/>
        <w:rPr>
          <w:sz w:val="24"/>
        </w:rPr>
      </w:pPr>
      <w:r>
        <w:rPr>
          <w:rFonts w:hint="eastAsia"/>
          <w:sz w:val="24"/>
        </w:rPr>
        <w:t>联系电话：                                       联系电话：</w:t>
      </w:r>
    </w:p>
    <w:p>
      <w:pPr>
        <w:spacing w:line="360" w:lineRule="auto"/>
        <w:ind w:firstLine="480" w:firstLineChars="200"/>
        <w:rPr>
          <w:sz w:val="24"/>
        </w:rPr>
      </w:pPr>
      <w:r>
        <w:rPr>
          <w:rFonts w:hint="eastAsia"/>
          <w:sz w:val="24"/>
        </w:rPr>
        <w:t>开户银行：                                       开户银行：</w:t>
      </w:r>
    </w:p>
    <w:p>
      <w:pPr>
        <w:spacing w:line="360" w:lineRule="auto"/>
        <w:ind w:firstLine="480" w:firstLineChars="200"/>
        <w:rPr>
          <w:sz w:val="24"/>
        </w:rPr>
      </w:pPr>
      <w:r>
        <w:rPr>
          <w:rFonts w:hint="eastAsia"/>
          <w:sz w:val="24"/>
        </w:rPr>
        <w:t>帐号：                                           帐号：</w:t>
      </w:r>
    </w:p>
    <w:p>
      <w:pPr>
        <w:spacing w:line="360" w:lineRule="auto"/>
        <w:ind w:firstLine="480" w:firstLineChars="200"/>
        <w:rPr>
          <w:sz w:val="24"/>
        </w:rPr>
      </w:pPr>
      <w:r>
        <w:rPr>
          <w:rFonts w:hint="eastAsia"/>
          <w:sz w:val="24"/>
        </w:rPr>
        <w:t>地址及邮编：                                     地址及邮编：</w:t>
      </w:r>
    </w:p>
    <w:p>
      <w:pPr>
        <w:pStyle w:val="2"/>
        <w:rPr>
          <w:rFonts w:hint="eastAsia"/>
        </w:rPr>
      </w:pPr>
    </w:p>
    <w:p>
      <w:pPr>
        <w:pStyle w:val="2"/>
        <w:rPr>
          <w:rFonts w:hint="eastAsia"/>
        </w:rPr>
      </w:pPr>
    </w:p>
    <w:p>
      <w:pPr>
        <w:pStyle w:val="2"/>
        <w:rPr>
          <w:rFonts w:hint="eastAsia"/>
        </w:rPr>
      </w:pPr>
    </w:p>
    <w:p>
      <w:pPr>
        <w:widowControl/>
        <w:jc w:val="left"/>
        <w:rPr>
          <w:sz w:val="24"/>
        </w:rPr>
      </w:pPr>
      <w:r>
        <w:br w:type="page"/>
      </w:r>
    </w:p>
    <w:p>
      <w:pPr>
        <w:pStyle w:val="3"/>
        <w:spacing w:before="0" w:after="0" w:line="360" w:lineRule="auto"/>
        <w:jc w:val="center"/>
      </w:pPr>
      <w:bookmarkStart w:id="46" w:name="_Toc19880430"/>
      <w:r>
        <w:rPr>
          <w:rFonts w:hint="eastAsia"/>
        </w:rPr>
        <w:t>第六章投标文件格式附件</w:t>
      </w:r>
      <w:bookmarkEnd w:id="46"/>
    </w:p>
    <w:p>
      <w:pPr>
        <w:pStyle w:val="4"/>
        <w:spacing w:before="0" w:after="0" w:line="360" w:lineRule="auto"/>
        <w:rPr>
          <w:rFonts w:asciiTheme="minorEastAsia" w:hAnsiTheme="minorEastAsia" w:eastAsiaTheme="minorEastAsia"/>
          <w:b w:val="0"/>
          <w:sz w:val="30"/>
          <w:szCs w:val="30"/>
        </w:rPr>
      </w:pPr>
      <w:bookmarkStart w:id="47" w:name="_Toc19880431"/>
      <w:r>
        <w:rPr>
          <w:rFonts w:hint="eastAsia"/>
          <w:kern w:val="0"/>
        </w:rPr>
        <w:t>附件1</w:t>
      </w:r>
      <w:bookmarkEnd w:id="47"/>
      <w:r>
        <w:rPr>
          <w:rFonts w:hint="eastAsia"/>
          <w:sz w:val="30"/>
          <w:szCs w:val="30"/>
        </w:rPr>
        <w:t xml:space="preserve"> 　　　</w:t>
      </w: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Lines="100" w:line="360" w:lineRule="auto"/>
        <w:ind w:right="-108"/>
        <w:jc w:val="center"/>
        <w:rPr>
          <w:rFonts w:ascii="宋体" w:hAnsi="宋体" w:cs="宋体"/>
          <w:sz w:val="84"/>
          <w:szCs w:val="84"/>
          <w:lang w:val="zh-CN"/>
        </w:rPr>
      </w:pPr>
      <w:r>
        <w:rPr>
          <w:rFonts w:hint="eastAsia" w:ascii="宋体" w:hAnsi="宋体"/>
          <w:sz w:val="36"/>
          <w:szCs w:val="36"/>
        </w:rPr>
        <w:t>项目编号：</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资格证明文件）</w:t>
      </w: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widowControl/>
        <w:jc w:val="left"/>
        <w:rPr>
          <w:sz w:val="24"/>
        </w:rPr>
      </w:pPr>
      <w:r>
        <w:br w:type="page"/>
      </w:r>
    </w:p>
    <w:p>
      <w:pPr>
        <w:snapToGrid w:val="0"/>
        <w:spacing w:before="50" w:after="50" w:line="360" w:lineRule="auto"/>
        <w:jc w:val="center"/>
        <w:rPr>
          <w:rFonts w:ascii="宋体" w:hAnsi="宋体"/>
          <w:b/>
          <w:bCs/>
          <w:sz w:val="36"/>
          <w:szCs w:val="36"/>
        </w:rPr>
      </w:pPr>
      <w:r>
        <w:rPr>
          <w:rFonts w:hint="eastAsia" w:ascii="宋体" w:hAnsi="宋体"/>
          <w:b/>
          <w:bCs/>
          <w:sz w:val="36"/>
          <w:szCs w:val="36"/>
        </w:rPr>
        <w:t>资格证明文件目录</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（1）投标声明书（附件2）；</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（2）授权委托书（附件3）；</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（3）提供有效的营业执照复印件；如事业单位参加投标的，则提供有效的《事业单位法人证书》复印件；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（4）提供最近年度的资产负债表、利润表，或者银行出具的资信证明；</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提供投标截止时间前六个月内（至少提供其中一个月）缴纳社会保障资金凭据（提供专用收据或社会保险缴纳清单或社保部门出具的社保证明）和缴纳税收凭证（依法免税的，提供相应证明资料证明依法免税）；</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（6）提供采购公告中符合供应商特定条件的有效资质证书复印件（投标供应商特定条件中有要求的必须提供），以及需要说明的其他资料；</w:t>
      </w:r>
    </w:p>
    <w:p>
      <w:pPr>
        <w:spacing w:line="360" w:lineRule="auto"/>
        <w:rPr>
          <w:rFonts w:ascii="宋体" w:hAnsi="宋体"/>
          <w:b/>
          <w:sz w:val="28"/>
        </w:rPr>
      </w:pPr>
    </w:p>
    <w:p>
      <w:pPr>
        <w:widowControl/>
        <w:jc w:val="left"/>
        <w:rPr>
          <w:rFonts w:ascii="宋体" w:hAnsi="宋体"/>
          <w:b/>
          <w:sz w:val="28"/>
        </w:rPr>
      </w:pPr>
      <w:r>
        <w:rPr>
          <w:rFonts w:ascii="宋体" w:hAnsi="宋体"/>
          <w:b/>
          <w:sz w:val="28"/>
        </w:rPr>
        <w:br w:type="page"/>
      </w:r>
    </w:p>
    <w:p>
      <w:pPr>
        <w:pStyle w:val="4"/>
        <w:spacing w:before="0" w:after="0" w:line="360" w:lineRule="auto"/>
        <w:rPr>
          <w:kern w:val="0"/>
        </w:rPr>
      </w:pPr>
      <w:bookmarkStart w:id="48" w:name="_Toc19880432"/>
      <w:r>
        <w:rPr>
          <w:rFonts w:hint="eastAsia"/>
          <w:kern w:val="0"/>
        </w:rPr>
        <w:t>附件2</w:t>
      </w:r>
      <w:bookmarkEnd w:id="48"/>
    </w:p>
    <w:p>
      <w:pPr>
        <w:adjustRightInd w:val="0"/>
        <w:snapToGrid w:val="0"/>
        <w:spacing w:line="360" w:lineRule="auto"/>
        <w:ind w:right="480"/>
        <w:jc w:val="center"/>
        <w:rPr>
          <w:rFonts w:ascii="宋体" w:hAnsi="宋体"/>
          <w:b/>
          <w:kern w:val="0"/>
          <w:sz w:val="32"/>
          <w:szCs w:val="32"/>
          <w:lang w:val="zh-CN"/>
        </w:rPr>
      </w:pPr>
      <w:r>
        <w:rPr>
          <w:rFonts w:hint="eastAsia" w:ascii="宋体" w:hAnsi="宋体"/>
          <w:b/>
          <w:kern w:val="0"/>
          <w:sz w:val="32"/>
          <w:szCs w:val="32"/>
          <w:lang w:val="zh-CN"/>
        </w:rPr>
        <w:t>投标声明书</w:t>
      </w:r>
    </w:p>
    <w:p>
      <w:pPr>
        <w:snapToGrid w:val="0"/>
        <w:spacing w:beforeLines="50" w:after="50" w:line="360" w:lineRule="auto"/>
        <w:ind w:firstLine="480" w:firstLineChars="200"/>
        <w:rPr>
          <w:rFonts w:ascii="宋体" w:hAnsi="宋体" w:cs="宋体"/>
          <w:kern w:val="0"/>
          <w:sz w:val="24"/>
        </w:rPr>
      </w:pPr>
      <w:r>
        <w:rPr>
          <w:rFonts w:hint="eastAsia" w:ascii="宋体" w:hAnsi="宋体" w:cstheme="minorBidi"/>
          <w:sz w:val="24"/>
          <w:u w:val="single"/>
        </w:rPr>
        <w:t xml:space="preserve">                 </w:t>
      </w:r>
      <w:r>
        <w:rPr>
          <w:rFonts w:hint="eastAsia" w:ascii="宋体" w:hAnsi="宋体" w:cs="宋体"/>
          <w:kern w:val="0"/>
          <w:sz w:val="24"/>
        </w:rPr>
        <w:t>（采购代理机构名称）：</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r>
        <w:rPr>
          <w:rFonts w:hint="eastAsia" w:ascii="宋体" w:hAnsi="宋体" w:cs="宋体"/>
          <w:kern w:val="0"/>
          <w:sz w:val="24"/>
          <w:u w:val="single"/>
        </w:rPr>
        <w:t xml:space="preserve">             </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snapToGrid w:val="0"/>
        <w:spacing w:line="360" w:lineRule="auto"/>
        <w:ind w:firstLine="480" w:firstLineChars="200"/>
        <w:rPr>
          <w:rFonts w:ascii="宋体" w:hAnsi="宋体" w:cs="宋体"/>
          <w:b/>
          <w:kern w:val="0"/>
          <w:sz w:val="24"/>
        </w:rPr>
      </w:pPr>
      <w:r>
        <w:rPr>
          <w:rFonts w:hint="eastAsia" w:ascii="宋体" w:hAnsi="宋体" w:cs="宋体"/>
          <w:kern w:val="0"/>
          <w:sz w:val="24"/>
        </w:rPr>
        <w:t>1、</w:t>
      </w:r>
      <w:r>
        <w:rPr>
          <w:rFonts w:hint="eastAsia" w:ascii="Arial" w:hAnsi="Arial" w:cs="Arial"/>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2、我公司</w:t>
      </w:r>
      <w:r>
        <w:rPr>
          <w:rFonts w:ascii="宋体" w:hAnsi="宋体" w:cs="宋体"/>
          <w:kern w:val="0"/>
          <w:sz w:val="24"/>
        </w:rPr>
        <w:t>在参与投标前已</w:t>
      </w:r>
      <w:r>
        <w:rPr>
          <w:rFonts w:hint="eastAsia" w:ascii="宋体" w:hAnsi="宋体" w:cs="宋体"/>
          <w:kern w:val="0"/>
          <w:sz w:val="24"/>
        </w:rPr>
        <w:t>详细审查</w:t>
      </w:r>
      <w:r>
        <w:rPr>
          <w:rFonts w:ascii="宋体" w:hAnsi="宋体" w:cs="宋体"/>
          <w:kern w:val="0"/>
          <w:sz w:val="24"/>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kern w:val="0"/>
          <w:sz w:val="24"/>
        </w:rPr>
        <w:t>利。</w:t>
      </w:r>
    </w:p>
    <w:p>
      <w:pPr>
        <w:numPr>
          <w:ilvl w:val="255"/>
          <w:numId w:val="0"/>
        </w:numPr>
        <w:snapToGrid w:val="0"/>
        <w:spacing w:line="360"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line="360" w:lineRule="auto"/>
        <w:ind w:firstLine="480" w:firstLineChars="200"/>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snapToGrid w:val="0"/>
        <w:spacing w:line="360"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p>
    <w:p>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日期：</w:t>
      </w:r>
      <w:r>
        <w:rPr>
          <w:rFonts w:hint="eastAsia" w:ascii="宋体" w:hAnsi="宋体" w:cstheme="minorBidi"/>
          <w:sz w:val="24"/>
        </w:rPr>
        <w:t xml:space="preserve">   </w:t>
      </w:r>
      <w:r>
        <w:rPr>
          <w:rFonts w:hint="eastAsia" w:ascii="宋体" w:hAnsi="宋体" w:cs="仿宋_GB2312"/>
          <w:kern w:val="0"/>
          <w:sz w:val="24"/>
          <w:lang w:val="zh-CN"/>
        </w:rPr>
        <w:t xml:space="preserve">年 </w:t>
      </w:r>
      <w:r>
        <w:rPr>
          <w:rFonts w:hint="eastAsia" w:ascii="宋体" w:hAnsi="宋体" w:cstheme="minorBidi"/>
          <w:sz w:val="24"/>
        </w:rPr>
        <w:t xml:space="preserve">  </w:t>
      </w:r>
      <w:r>
        <w:rPr>
          <w:rFonts w:hint="eastAsia" w:ascii="宋体" w:hAnsi="宋体" w:cs="仿宋_GB2312"/>
          <w:kern w:val="0"/>
          <w:sz w:val="24"/>
          <w:lang w:val="zh-CN"/>
        </w:rPr>
        <w:t xml:space="preserve"> 月 </w:t>
      </w:r>
      <w:r>
        <w:rPr>
          <w:rFonts w:hint="eastAsia" w:ascii="宋体" w:hAnsi="宋体" w:cstheme="minorBidi"/>
          <w:sz w:val="24"/>
        </w:rPr>
        <w:t xml:space="preserve">   </w:t>
      </w:r>
      <w:r>
        <w:rPr>
          <w:rFonts w:hint="eastAsia" w:ascii="宋体" w:hAnsi="宋体" w:cs="仿宋_GB2312"/>
          <w:kern w:val="0"/>
          <w:sz w:val="24"/>
          <w:lang w:val="zh-CN"/>
        </w:rPr>
        <w:t xml:space="preserve"> 日</w:t>
      </w:r>
    </w:p>
    <w:p>
      <w:pPr>
        <w:widowControl/>
        <w:jc w:val="left"/>
        <w:rPr>
          <w:rFonts w:ascii="宋体" w:hAnsi="宋体"/>
          <w:b/>
          <w:sz w:val="28"/>
        </w:rPr>
      </w:pPr>
      <w:r>
        <w:rPr>
          <w:rFonts w:ascii="宋体" w:hAnsi="宋体"/>
          <w:b/>
          <w:sz w:val="28"/>
        </w:rPr>
        <w:br w:type="page"/>
      </w:r>
    </w:p>
    <w:p>
      <w:pPr>
        <w:pStyle w:val="4"/>
        <w:spacing w:before="0" w:after="0" w:line="360" w:lineRule="auto"/>
        <w:rPr>
          <w:kern w:val="0"/>
        </w:rPr>
      </w:pPr>
      <w:bookmarkStart w:id="49" w:name="_Toc19880433"/>
      <w:r>
        <w:rPr>
          <w:rFonts w:hint="eastAsia"/>
          <w:kern w:val="0"/>
        </w:rPr>
        <w:t>附件3</w:t>
      </w:r>
      <w:bookmarkEnd w:id="49"/>
    </w:p>
    <w:p>
      <w:pPr>
        <w:spacing w:line="360" w:lineRule="auto"/>
        <w:ind w:firstLine="321" w:firstLineChars="100"/>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pPr>
        <w:snapToGrid w:val="0"/>
        <w:spacing w:line="360" w:lineRule="auto"/>
        <w:ind w:firstLine="480" w:firstLineChars="200"/>
        <w:rPr>
          <w:rFonts w:ascii="宋体" w:hAnsi="宋体" w:cs="宋体"/>
          <w:kern w:val="0"/>
          <w:sz w:val="24"/>
        </w:rPr>
      </w:pPr>
      <w:r>
        <w:rPr>
          <w:rFonts w:hint="eastAsia" w:ascii="宋体" w:hAnsi="宋体" w:cstheme="minorBidi"/>
          <w:sz w:val="24"/>
          <w:u w:val="single"/>
        </w:rPr>
        <w:t xml:space="preserve">               </w:t>
      </w:r>
      <w:r>
        <w:rPr>
          <w:rFonts w:hint="eastAsia" w:ascii="宋体" w:hAnsi="宋体" w:cs="宋体"/>
          <w:kern w:val="0"/>
          <w:sz w:val="24"/>
        </w:rPr>
        <w:t>（采购代理机构名称）：</w:t>
      </w:r>
    </w:p>
    <w:p>
      <w:pPr>
        <w:pStyle w:val="10"/>
        <w:spacing w:line="500" w:lineRule="exact"/>
        <w:ind w:left="240" w:hanging="240" w:hangingChars="1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0"/>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0"/>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1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1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hAnsi="宋体"/>
          <w:b/>
          <w:sz w:val="28"/>
        </w:rPr>
      </w:pPr>
      <w:r>
        <w:rPr>
          <w:rFonts w:hint="eastAsia" w:ascii="宋体"/>
          <w:sz w:val="24"/>
        </w:rPr>
        <w:t>邮政编码：</w:t>
      </w:r>
    </w:p>
    <w:p>
      <w:pPr>
        <w:widowControl/>
        <w:jc w:val="left"/>
        <w:rPr>
          <w:rFonts w:ascii="宋体" w:hAnsi="宋体"/>
          <w:b/>
          <w:sz w:val="28"/>
        </w:rPr>
      </w:pPr>
      <w:r>
        <w:rPr>
          <w:rFonts w:ascii="宋体" w:hAnsi="宋体"/>
          <w:b/>
          <w:sz w:val="28"/>
        </w:rPr>
        <w:br w:type="page"/>
      </w:r>
    </w:p>
    <w:p>
      <w:pPr>
        <w:pStyle w:val="4"/>
        <w:spacing w:before="0" w:after="0" w:line="360" w:lineRule="auto"/>
        <w:rPr>
          <w:kern w:val="0"/>
        </w:rPr>
      </w:pPr>
      <w:bookmarkStart w:id="50" w:name="_Toc19880434"/>
      <w:r>
        <w:rPr>
          <w:rFonts w:hint="eastAsia"/>
          <w:kern w:val="0"/>
        </w:rPr>
        <w:t>附件4：</w:t>
      </w:r>
      <w:bookmarkEnd w:id="50"/>
    </w:p>
    <w:p>
      <w:pPr>
        <w:snapToGrid w:val="0"/>
        <w:spacing w:beforeLines="50" w:after="50" w:line="360" w:lineRule="auto"/>
        <w:jc w:val="right"/>
        <w:rPr>
          <w:rFonts w:ascii="仿宋_GB2312" w:hAnsi="宋体" w:eastAsia="仿宋_GB2312"/>
          <w:bCs/>
          <w:sz w:val="30"/>
          <w:szCs w:val="30"/>
        </w:rPr>
      </w:pP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Lines="100" w:line="360" w:lineRule="auto"/>
        <w:ind w:right="-108"/>
        <w:jc w:val="center"/>
        <w:rPr>
          <w:rFonts w:ascii="宋体" w:hAnsi="宋体" w:cs="宋体"/>
          <w:sz w:val="84"/>
          <w:szCs w:val="84"/>
          <w:lang w:val="zh-CN"/>
        </w:rPr>
      </w:pPr>
      <w:r>
        <w:rPr>
          <w:rFonts w:hint="eastAsia" w:ascii="宋体" w:hAnsi="宋体"/>
          <w:sz w:val="36"/>
          <w:szCs w:val="36"/>
        </w:rPr>
        <w:t>项目编号：</w:t>
      </w:r>
      <w:r>
        <w:rPr>
          <w:rFonts w:ascii="宋体" w:hAnsi="宋体"/>
          <w:sz w:val="36"/>
          <w:szCs w:val="36"/>
        </w:rPr>
        <w:t xml:space="preserve"> </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pacing w:val="40"/>
          <w:sz w:val="28"/>
          <w:szCs w:val="28"/>
        </w:rPr>
        <w:t>）</w:t>
      </w: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widowControl/>
        <w:jc w:val="left"/>
        <w:rPr>
          <w:rFonts w:ascii="宋体" w:hAnsi="宋体"/>
          <w:b/>
          <w:bCs/>
          <w:sz w:val="32"/>
          <w:szCs w:val="32"/>
          <w:lang w:val="zh-CN"/>
        </w:rPr>
      </w:pPr>
      <w:r>
        <w:rPr>
          <w:rFonts w:ascii="宋体" w:hAnsi="宋体"/>
          <w:b/>
          <w:bCs/>
          <w:sz w:val="32"/>
          <w:szCs w:val="32"/>
          <w:lang w:val="zh-CN"/>
        </w:rPr>
        <w:br w:type="page"/>
      </w:r>
    </w:p>
    <w:p>
      <w:pPr>
        <w:snapToGrid w:val="0"/>
        <w:spacing w:before="50" w:after="50" w:line="360" w:lineRule="auto"/>
        <w:jc w:val="center"/>
        <w:rPr>
          <w:rFonts w:ascii="宋体" w:hAnsi="宋体"/>
          <w:b/>
          <w:bCs/>
          <w:sz w:val="32"/>
          <w:szCs w:val="32"/>
        </w:rPr>
      </w:pPr>
      <w:r>
        <w:rPr>
          <w:rFonts w:hint="eastAsia" w:ascii="宋体" w:hAnsi="宋体"/>
          <w:b/>
          <w:bCs/>
          <w:sz w:val="32"/>
          <w:szCs w:val="32"/>
          <w:lang w:val="zh-CN"/>
        </w:rPr>
        <w:t>商务与技术文件</w:t>
      </w:r>
      <w:r>
        <w:rPr>
          <w:rFonts w:hint="eastAsia" w:ascii="宋体" w:hAnsi="宋体"/>
          <w:b/>
          <w:bCs/>
          <w:sz w:val="32"/>
          <w:szCs w:val="32"/>
        </w:rPr>
        <w:t>目录</w:t>
      </w:r>
    </w:p>
    <w:p>
      <w:pPr>
        <w:snapToGrid w:val="0"/>
        <w:spacing w:line="360" w:lineRule="auto"/>
        <w:rPr>
          <w:rFonts w:ascii="宋体" w:hAnsi="宋体"/>
          <w:sz w:val="24"/>
        </w:rPr>
      </w:pP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（1）、供应商情况介绍（附件5）；</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（2）、技术响应表（附件6）；</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（3）、类似项目业绩一览表（附件7）；</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（4）、项目实施人员一览表（附件8）；</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（5）、对本项目采购需求的理解、技术服务方案、项目组织实施方案</w:t>
      </w:r>
      <w:r>
        <w:rPr>
          <w:rFonts w:asciiTheme="minorEastAsia" w:hAnsiTheme="minorEastAsia" w:eastAsiaTheme="minorEastAsia"/>
          <w:sz w:val="24"/>
        </w:rPr>
        <w:t>、</w:t>
      </w:r>
      <w:r>
        <w:rPr>
          <w:rFonts w:hint="eastAsia" w:asciiTheme="minorEastAsia" w:hAnsiTheme="minorEastAsia" w:eastAsiaTheme="minorEastAsia"/>
          <w:sz w:val="24"/>
        </w:rPr>
        <w:t>培训计划及维护能力、售后服务及技术团队等]（格式自拟）；</w:t>
      </w:r>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（6）、供应商认为需要提供的其他资料（包括可能影响供应商商务与技术内容评分的各类证明材料）；</w:t>
      </w:r>
    </w:p>
    <w:p>
      <w:pPr>
        <w:pStyle w:val="2"/>
        <w:rPr>
          <w:rFonts w:hint="eastAsia"/>
        </w:rPr>
      </w:pPr>
    </w:p>
    <w:p>
      <w:pPr>
        <w:widowControl/>
        <w:jc w:val="left"/>
        <w:rPr>
          <w:sz w:val="24"/>
        </w:rPr>
      </w:pPr>
      <w:r>
        <w:br w:type="page"/>
      </w:r>
    </w:p>
    <w:p>
      <w:pPr>
        <w:pStyle w:val="4"/>
        <w:spacing w:before="0" w:after="0" w:line="360" w:lineRule="auto"/>
        <w:rPr>
          <w:rFonts w:hint="eastAsia"/>
          <w:kern w:val="0"/>
        </w:rPr>
      </w:pPr>
      <w:bookmarkStart w:id="51" w:name="_Toc19880435"/>
      <w:r>
        <w:rPr>
          <w:rFonts w:hint="eastAsia"/>
          <w:kern w:val="0"/>
        </w:rPr>
        <w:t>附件5</w:t>
      </w:r>
      <w:bookmarkEnd w:id="51"/>
    </w:p>
    <w:p>
      <w:pPr>
        <w:pStyle w:val="39"/>
        <w:shd w:val="clear" w:color="auto" w:fill="FFFFFF"/>
        <w:spacing w:before="0" w:beforeAutospacing="0" w:after="0" w:afterAutospacing="0" w:line="360" w:lineRule="auto"/>
        <w:jc w:val="center"/>
        <w:rPr>
          <w:rFonts w:eastAsia="微软雅黑"/>
          <w:color w:val="000000"/>
          <w:sz w:val="36"/>
          <w:szCs w:val="36"/>
        </w:rPr>
      </w:pPr>
      <w:r>
        <w:rPr>
          <w:rFonts w:hint="eastAsia"/>
          <w:b/>
          <w:color w:val="000000"/>
          <w:sz w:val="32"/>
          <w:szCs w:val="32"/>
        </w:rPr>
        <w:t>供应商</w:t>
      </w:r>
      <w:r>
        <w:rPr>
          <w:rFonts w:hint="eastAsia"/>
          <w:b/>
          <w:bCs/>
          <w:color w:val="000000"/>
          <w:spacing w:val="21"/>
          <w:sz w:val="32"/>
          <w:szCs w:val="32"/>
        </w:rPr>
        <w:t>基本情况表</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050"/>
        <w:gridCol w:w="352"/>
        <w:gridCol w:w="818"/>
        <w:gridCol w:w="515"/>
        <w:gridCol w:w="895"/>
        <w:gridCol w:w="523"/>
        <w:gridCol w:w="917"/>
        <w:gridCol w:w="359"/>
        <w:gridCol w:w="1036"/>
        <w:gridCol w:w="750"/>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33" w:type="dxa"/>
          </w:tcPr>
          <w:p>
            <w:pPr>
              <w:pStyle w:val="39"/>
              <w:shd w:val="clear" w:color="auto" w:fill="FFFFFF"/>
              <w:spacing w:line="360" w:lineRule="auto"/>
              <w:rPr>
                <w:bCs/>
                <w:color w:val="000000"/>
              </w:rPr>
            </w:pPr>
            <w:r>
              <w:rPr>
                <w:rFonts w:hint="eastAsia"/>
                <w:bCs/>
                <w:color w:val="000000"/>
                <w:spacing w:val="27"/>
              </w:rPr>
              <w:t>企业名称</w:t>
            </w:r>
          </w:p>
        </w:tc>
        <w:tc>
          <w:tcPr>
            <w:tcW w:w="5070" w:type="dxa"/>
            <w:gridSpan w:val="7"/>
          </w:tcPr>
          <w:p>
            <w:pPr>
              <w:pStyle w:val="39"/>
              <w:shd w:val="clear" w:color="auto" w:fill="FFFFFF"/>
              <w:spacing w:line="360" w:lineRule="auto"/>
              <w:rPr>
                <w:bCs/>
                <w:color w:val="000000"/>
              </w:rPr>
            </w:pPr>
          </w:p>
        </w:tc>
        <w:tc>
          <w:tcPr>
            <w:tcW w:w="1395" w:type="dxa"/>
            <w:gridSpan w:val="2"/>
          </w:tcPr>
          <w:p>
            <w:pPr>
              <w:pStyle w:val="39"/>
              <w:shd w:val="clear" w:color="auto" w:fill="FFFFFF"/>
              <w:spacing w:line="360" w:lineRule="auto"/>
              <w:rPr>
                <w:bCs/>
                <w:color w:val="000000"/>
              </w:rPr>
            </w:pPr>
            <w:r>
              <w:rPr>
                <w:rFonts w:hint="eastAsia"/>
                <w:bCs/>
                <w:color w:val="000000"/>
                <w:spacing w:val="16"/>
              </w:rPr>
              <w:t>法人代表</w:t>
            </w:r>
          </w:p>
        </w:tc>
        <w:tc>
          <w:tcPr>
            <w:tcW w:w="1882" w:type="dxa"/>
            <w:gridSpan w:val="2"/>
          </w:tcPr>
          <w:p>
            <w:pPr>
              <w:pStyle w:val="39"/>
              <w:shd w:val="clear" w:color="auto" w:fill="FFFFFF"/>
              <w:spacing w:line="360" w:lineRule="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33" w:type="dxa"/>
          </w:tcPr>
          <w:p>
            <w:pPr>
              <w:pStyle w:val="39"/>
              <w:shd w:val="clear" w:color="auto" w:fill="FFFFFF"/>
              <w:spacing w:line="360" w:lineRule="auto"/>
              <w:rPr>
                <w:bCs/>
                <w:color w:val="000000"/>
                <w:spacing w:val="16"/>
              </w:rPr>
            </w:pPr>
            <w:r>
              <w:rPr>
                <w:rFonts w:hint="eastAsia"/>
                <w:bCs/>
                <w:color w:val="000000"/>
                <w:spacing w:val="27"/>
              </w:rPr>
              <w:t>地址</w:t>
            </w:r>
          </w:p>
        </w:tc>
        <w:tc>
          <w:tcPr>
            <w:tcW w:w="5070" w:type="dxa"/>
            <w:gridSpan w:val="7"/>
            <w:tcBorders>
              <w:bottom w:val="single" w:color="auto" w:sz="4" w:space="0"/>
            </w:tcBorders>
          </w:tcPr>
          <w:p>
            <w:pPr>
              <w:pStyle w:val="39"/>
              <w:shd w:val="clear" w:color="auto" w:fill="FFFFFF"/>
              <w:spacing w:line="360" w:lineRule="auto"/>
              <w:rPr>
                <w:bCs/>
                <w:color w:val="000000"/>
                <w:spacing w:val="16"/>
              </w:rPr>
            </w:pPr>
          </w:p>
        </w:tc>
        <w:tc>
          <w:tcPr>
            <w:tcW w:w="1395" w:type="dxa"/>
            <w:gridSpan w:val="2"/>
          </w:tcPr>
          <w:p>
            <w:pPr>
              <w:pStyle w:val="39"/>
              <w:shd w:val="clear" w:color="auto" w:fill="FFFFFF"/>
              <w:spacing w:line="360" w:lineRule="auto"/>
              <w:rPr>
                <w:bCs/>
                <w:color w:val="000000"/>
                <w:spacing w:val="16"/>
              </w:rPr>
            </w:pPr>
            <w:r>
              <w:rPr>
                <w:rFonts w:hint="eastAsia"/>
                <w:bCs/>
                <w:color w:val="000000"/>
                <w:spacing w:val="16"/>
              </w:rPr>
              <w:t>企业性质</w:t>
            </w:r>
          </w:p>
        </w:tc>
        <w:tc>
          <w:tcPr>
            <w:tcW w:w="1882" w:type="dxa"/>
            <w:gridSpan w:val="2"/>
          </w:tcPr>
          <w:p>
            <w:pPr>
              <w:pStyle w:val="39"/>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33" w:type="dxa"/>
            <w:tcBorders>
              <w:bottom w:val="single" w:color="auto" w:sz="4" w:space="0"/>
            </w:tcBorders>
          </w:tcPr>
          <w:p>
            <w:pPr>
              <w:pStyle w:val="39"/>
              <w:shd w:val="clear" w:color="auto" w:fill="FFFFFF"/>
              <w:spacing w:line="360" w:lineRule="auto"/>
              <w:rPr>
                <w:bCs/>
                <w:color w:val="000000"/>
                <w:spacing w:val="16"/>
              </w:rPr>
            </w:pPr>
            <w:r>
              <w:rPr>
                <w:rFonts w:hint="eastAsia"/>
                <w:bCs/>
                <w:color w:val="000000"/>
                <w:spacing w:val="27"/>
              </w:rPr>
              <w:t>股东姓名</w:t>
            </w:r>
          </w:p>
        </w:tc>
        <w:tc>
          <w:tcPr>
            <w:tcW w:w="1050" w:type="dxa"/>
            <w:tcBorders>
              <w:bottom w:val="single" w:color="auto" w:sz="4" w:space="0"/>
            </w:tcBorders>
          </w:tcPr>
          <w:p>
            <w:pPr>
              <w:pStyle w:val="39"/>
              <w:shd w:val="clear" w:color="auto" w:fill="FFFFFF"/>
              <w:spacing w:before="0" w:beforeAutospacing="0" w:after="0" w:afterAutospacing="0" w:line="360" w:lineRule="auto"/>
              <w:rPr>
                <w:bCs/>
                <w:color w:val="000000"/>
                <w:spacing w:val="16"/>
              </w:rPr>
            </w:pPr>
          </w:p>
        </w:tc>
        <w:tc>
          <w:tcPr>
            <w:tcW w:w="1170" w:type="dxa"/>
            <w:gridSpan w:val="2"/>
            <w:tcBorders>
              <w:bottom w:val="single" w:color="auto" w:sz="4" w:space="0"/>
            </w:tcBorders>
          </w:tcPr>
          <w:p>
            <w:pPr>
              <w:pStyle w:val="39"/>
              <w:shd w:val="clear" w:color="auto" w:fill="FFFFFF"/>
              <w:spacing w:line="360" w:lineRule="auto"/>
              <w:rPr>
                <w:bCs/>
                <w:color w:val="000000"/>
                <w:spacing w:val="16"/>
              </w:rPr>
            </w:pPr>
            <w:r>
              <w:rPr>
                <w:rFonts w:hint="eastAsia"/>
                <w:bCs/>
                <w:color w:val="000000"/>
                <w:spacing w:val="16"/>
              </w:rPr>
              <w:t>股权结构（%）</w:t>
            </w:r>
          </w:p>
        </w:tc>
        <w:tc>
          <w:tcPr>
            <w:tcW w:w="2850" w:type="dxa"/>
            <w:gridSpan w:val="4"/>
            <w:tcBorders>
              <w:bottom w:val="single" w:color="auto" w:sz="4" w:space="0"/>
            </w:tcBorders>
          </w:tcPr>
          <w:p>
            <w:pPr>
              <w:widowControl/>
              <w:spacing w:line="360" w:lineRule="auto"/>
              <w:jc w:val="left"/>
              <w:rPr>
                <w:rFonts w:ascii="宋体" w:hAnsi="宋体" w:cs="宋体"/>
                <w:bCs/>
                <w:color w:val="000000"/>
                <w:spacing w:val="16"/>
                <w:kern w:val="0"/>
                <w:sz w:val="24"/>
              </w:rPr>
            </w:pPr>
          </w:p>
          <w:p>
            <w:pPr>
              <w:pStyle w:val="39"/>
              <w:shd w:val="clear" w:color="auto" w:fill="FFFFFF"/>
              <w:spacing w:line="360" w:lineRule="auto"/>
              <w:rPr>
                <w:bCs/>
                <w:color w:val="000000"/>
                <w:spacing w:val="16"/>
              </w:rPr>
            </w:pPr>
          </w:p>
        </w:tc>
        <w:tc>
          <w:tcPr>
            <w:tcW w:w="1395" w:type="dxa"/>
            <w:gridSpan w:val="2"/>
          </w:tcPr>
          <w:p>
            <w:pPr>
              <w:pStyle w:val="39"/>
              <w:shd w:val="clear" w:color="auto" w:fill="FFFFFF"/>
              <w:spacing w:line="360" w:lineRule="auto"/>
              <w:ind w:left="107"/>
              <w:rPr>
                <w:bCs/>
                <w:color w:val="000000"/>
                <w:spacing w:val="16"/>
              </w:rPr>
            </w:pPr>
            <w:r>
              <w:rPr>
                <w:rFonts w:hint="eastAsia"/>
                <w:bCs/>
                <w:color w:val="000000"/>
                <w:spacing w:val="16"/>
              </w:rPr>
              <w:t>股东关系</w:t>
            </w:r>
          </w:p>
        </w:tc>
        <w:tc>
          <w:tcPr>
            <w:tcW w:w="1882" w:type="dxa"/>
            <w:gridSpan w:val="2"/>
          </w:tcPr>
          <w:p>
            <w:pPr>
              <w:pStyle w:val="39"/>
              <w:shd w:val="clear" w:color="auto" w:fill="FFFFFF"/>
              <w:spacing w:line="360" w:lineRule="auto"/>
              <w:ind w:left="107"/>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833" w:type="dxa"/>
            <w:vMerge w:val="restart"/>
          </w:tcPr>
          <w:p>
            <w:pPr>
              <w:pStyle w:val="39"/>
              <w:shd w:val="clear" w:color="auto" w:fill="FFFFFF"/>
              <w:spacing w:line="360" w:lineRule="auto"/>
              <w:rPr>
                <w:bCs/>
                <w:color w:val="000000"/>
                <w:spacing w:val="16"/>
              </w:rPr>
            </w:pPr>
            <w:r>
              <w:rPr>
                <w:rFonts w:hint="eastAsia"/>
                <w:bCs/>
                <w:color w:val="000000"/>
                <w:spacing w:val="12"/>
              </w:rPr>
              <w:t>联系人</w:t>
            </w:r>
            <w:r>
              <w:rPr>
                <w:rFonts w:hint="eastAsia"/>
                <w:bCs/>
                <w:color w:val="000000"/>
                <w:spacing w:val="27"/>
              </w:rPr>
              <w:t>姓名</w:t>
            </w:r>
          </w:p>
        </w:tc>
        <w:tc>
          <w:tcPr>
            <w:tcW w:w="1050" w:type="dxa"/>
            <w:vMerge w:val="restart"/>
            <w:tcBorders>
              <w:top w:val="nil"/>
            </w:tcBorders>
          </w:tcPr>
          <w:p>
            <w:pPr>
              <w:pStyle w:val="39"/>
              <w:shd w:val="clear" w:color="auto" w:fill="FFFFFF"/>
              <w:spacing w:line="360" w:lineRule="auto"/>
              <w:rPr>
                <w:bCs/>
                <w:color w:val="000000"/>
                <w:spacing w:val="16"/>
              </w:rPr>
            </w:pPr>
          </w:p>
        </w:tc>
        <w:tc>
          <w:tcPr>
            <w:tcW w:w="1170" w:type="dxa"/>
            <w:gridSpan w:val="2"/>
            <w:tcBorders>
              <w:top w:val="nil"/>
              <w:bottom w:val="single" w:color="auto" w:sz="4" w:space="0"/>
            </w:tcBorders>
          </w:tcPr>
          <w:p>
            <w:pPr>
              <w:pStyle w:val="39"/>
              <w:shd w:val="clear" w:color="auto" w:fill="FFFFFF"/>
              <w:spacing w:line="360" w:lineRule="auto"/>
              <w:rPr>
                <w:bCs/>
                <w:color w:val="000000"/>
                <w:spacing w:val="16"/>
              </w:rPr>
            </w:pPr>
            <w:r>
              <w:rPr>
                <w:rFonts w:hint="eastAsia"/>
                <w:bCs/>
                <w:color w:val="000000"/>
                <w:spacing w:val="16"/>
              </w:rPr>
              <w:t>固定电话</w:t>
            </w:r>
          </w:p>
        </w:tc>
        <w:tc>
          <w:tcPr>
            <w:tcW w:w="2850" w:type="dxa"/>
            <w:gridSpan w:val="4"/>
            <w:tcBorders>
              <w:top w:val="nil"/>
              <w:bottom w:val="single" w:color="auto" w:sz="4" w:space="0"/>
            </w:tcBorders>
          </w:tcPr>
          <w:p>
            <w:pPr>
              <w:widowControl/>
              <w:spacing w:line="360" w:lineRule="auto"/>
              <w:jc w:val="left"/>
              <w:rPr>
                <w:rFonts w:ascii="宋体" w:hAnsi="宋体" w:cs="宋体"/>
                <w:bCs/>
                <w:color w:val="000000"/>
                <w:spacing w:val="16"/>
                <w:kern w:val="0"/>
                <w:sz w:val="24"/>
              </w:rPr>
            </w:pPr>
          </w:p>
          <w:p>
            <w:pPr>
              <w:pStyle w:val="39"/>
              <w:shd w:val="clear" w:color="auto" w:fill="FFFFFF"/>
              <w:spacing w:line="360" w:lineRule="auto"/>
              <w:rPr>
                <w:bCs/>
                <w:color w:val="000000"/>
                <w:spacing w:val="16"/>
              </w:rPr>
            </w:pPr>
          </w:p>
        </w:tc>
        <w:tc>
          <w:tcPr>
            <w:tcW w:w="1395" w:type="dxa"/>
            <w:gridSpan w:val="2"/>
            <w:vMerge w:val="restart"/>
          </w:tcPr>
          <w:p>
            <w:pPr>
              <w:pStyle w:val="39"/>
              <w:shd w:val="clear" w:color="auto" w:fill="FFFFFF"/>
              <w:spacing w:before="0" w:beforeAutospacing="0" w:after="0" w:afterAutospacing="0" w:line="360" w:lineRule="auto"/>
              <w:rPr>
                <w:bCs/>
                <w:color w:val="000000"/>
                <w:spacing w:val="16"/>
              </w:rPr>
            </w:pPr>
            <w:r>
              <w:rPr>
                <w:rFonts w:hint="eastAsia"/>
                <w:bCs/>
                <w:color w:val="000000"/>
                <w:spacing w:val="16"/>
              </w:rPr>
              <w:t>传真</w:t>
            </w:r>
          </w:p>
        </w:tc>
        <w:tc>
          <w:tcPr>
            <w:tcW w:w="1882" w:type="dxa"/>
            <w:gridSpan w:val="2"/>
            <w:vMerge w:val="restart"/>
          </w:tcPr>
          <w:p>
            <w:pPr>
              <w:pStyle w:val="39"/>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833" w:type="dxa"/>
            <w:vMerge w:val="continue"/>
            <w:tcBorders>
              <w:bottom w:val="single" w:color="auto" w:sz="4" w:space="0"/>
            </w:tcBorders>
          </w:tcPr>
          <w:p>
            <w:pPr>
              <w:pStyle w:val="39"/>
              <w:shd w:val="clear" w:color="auto" w:fill="FFFFFF"/>
              <w:spacing w:line="360" w:lineRule="auto"/>
              <w:ind w:left="107"/>
              <w:rPr>
                <w:bCs/>
                <w:color w:val="000000"/>
              </w:rPr>
            </w:pPr>
          </w:p>
        </w:tc>
        <w:tc>
          <w:tcPr>
            <w:tcW w:w="1050" w:type="dxa"/>
            <w:vMerge w:val="continue"/>
            <w:tcBorders>
              <w:bottom w:val="single" w:color="auto" w:sz="4" w:space="0"/>
            </w:tcBorders>
          </w:tcPr>
          <w:p>
            <w:pPr>
              <w:pStyle w:val="39"/>
              <w:shd w:val="clear" w:color="auto" w:fill="FFFFFF"/>
              <w:spacing w:line="360" w:lineRule="auto"/>
              <w:rPr>
                <w:bCs/>
                <w:color w:val="000000"/>
                <w:spacing w:val="16"/>
              </w:rPr>
            </w:pPr>
          </w:p>
        </w:tc>
        <w:tc>
          <w:tcPr>
            <w:tcW w:w="1170" w:type="dxa"/>
            <w:gridSpan w:val="2"/>
            <w:tcBorders>
              <w:bottom w:val="single" w:color="auto" w:sz="4" w:space="0"/>
            </w:tcBorders>
          </w:tcPr>
          <w:p>
            <w:pPr>
              <w:pStyle w:val="39"/>
              <w:shd w:val="clear" w:color="auto" w:fill="FFFFFF"/>
              <w:spacing w:line="360" w:lineRule="auto"/>
              <w:rPr>
                <w:bCs/>
                <w:color w:val="000000"/>
                <w:spacing w:val="16"/>
              </w:rPr>
            </w:pPr>
            <w:r>
              <w:rPr>
                <w:rFonts w:hint="eastAsia"/>
                <w:bCs/>
                <w:color w:val="000000"/>
                <w:spacing w:val="27"/>
              </w:rPr>
              <w:t>手机</w:t>
            </w:r>
          </w:p>
        </w:tc>
        <w:tc>
          <w:tcPr>
            <w:tcW w:w="2850" w:type="dxa"/>
            <w:gridSpan w:val="4"/>
            <w:tcBorders>
              <w:bottom w:val="single" w:color="auto" w:sz="4" w:space="0"/>
            </w:tcBorders>
          </w:tcPr>
          <w:p>
            <w:pPr>
              <w:pStyle w:val="39"/>
              <w:shd w:val="clear" w:color="auto" w:fill="FFFFFF"/>
              <w:spacing w:line="360" w:lineRule="auto"/>
              <w:rPr>
                <w:bCs/>
                <w:color w:val="000000"/>
                <w:spacing w:val="16"/>
              </w:rPr>
            </w:pPr>
          </w:p>
        </w:tc>
        <w:tc>
          <w:tcPr>
            <w:tcW w:w="1395" w:type="dxa"/>
            <w:gridSpan w:val="2"/>
            <w:vMerge w:val="continue"/>
            <w:tcBorders>
              <w:bottom w:val="single" w:color="auto" w:sz="4" w:space="0"/>
            </w:tcBorders>
          </w:tcPr>
          <w:p>
            <w:pPr>
              <w:pStyle w:val="39"/>
              <w:shd w:val="clear" w:color="auto" w:fill="FFFFFF"/>
              <w:spacing w:line="360" w:lineRule="auto"/>
              <w:rPr>
                <w:bCs/>
                <w:color w:val="000000"/>
                <w:spacing w:val="16"/>
              </w:rPr>
            </w:pPr>
          </w:p>
        </w:tc>
        <w:tc>
          <w:tcPr>
            <w:tcW w:w="1882" w:type="dxa"/>
            <w:gridSpan w:val="2"/>
            <w:vMerge w:val="continue"/>
            <w:tcBorders>
              <w:bottom w:val="single" w:color="auto" w:sz="4" w:space="0"/>
            </w:tcBorders>
          </w:tcPr>
          <w:p>
            <w:pPr>
              <w:pStyle w:val="39"/>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833" w:type="dxa"/>
            <w:vMerge w:val="restart"/>
            <w:tcBorders>
              <w:top w:val="single" w:color="auto" w:sz="4" w:space="0"/>
            </w:tcBorders>
          </w:tcPr>
          <w:p>
            <w:pPr>
              <w:pStyle w:val="39"/>
              <w:shd w:val="clear" w:color="auto" w:fill="FFFFFF"/>
              <w:spacing w:line="360" w:lineRule="auto"/>
              <w:ind w:left="107"/>
              <w:rPr>
                <w:bCs/>
                <w:color w:val="000000"/>
              </w:rPr>
            </w:pPr>
            <w:r>
              <w:rPr>
                <w:bCs/>
                <w:color w:val="000000"/>
              </w:rPr>
              <w:t>1</w:t>
            </w:r>
            <w:r>
              <w:rPr>
                <w:rFonts w:hint="eastAsia"/>
                <w:bCs/>
                <w:color w:val="000000"/>
              </w:rPr>
              <w:t>.</w:t>
            </w:r>
          </w:p>
          <w:p>
            <w:pPr>
              <w:pStyle w:val="39"/>
              <w:shd w:val="clear" w:color="auto" w:fill="FFFFFF"/>
              <w:spacing w:line="360" w:lineRule="auto"/>
              <w:ind w:left="107"/>
              <w:rPr>
                <w:bCs/>
                <w:color w:val="000000"/>
              </w:rPr>
            </w:pPr>
            <w:r>
              <w:rPr>
                <w:rFonts w:hint="eastAsia"/>
                <w:bCs/>
                <w:color w:val="000000"/>
              </w:rPr>
              <w:t>企</w:t>
            </w:r>
          </w:p>
          <w:p>
            <w:pPr>
              <w:pStyle w:val="39"/>
              <w:shd w:val="clear" w:color="auto" w:fill="FFFFFF"/>
              <w:spacing w:line="360" w:lineRule="auto"/>
              <w:ind w:left="107"/>
              <w:rPr>
                <w:bCs/>
                <w:color w:val="000000"/>
              </w:rPr>
            </w:pPr>
            <w:r>
              <w:rPr>
                <w:rFonts w:hint="eastAsia"/>
                <w:bCs/>
                <w:color w:val="000000"/>
              </w:rPr>
              <w:t>业</w:t>
            </w:r>
          </w:p>
          <w:p>
            <w:pPr>
              <w:pStyle w:val="39"/>
              <w:shd w:val="clear" w:color="auto" w:fill="FFFFFF"/>
              <w:spacing w:line="360" w:lineRule="auto"/>
              <w:ind w:left="107"/>
              <w:rPr>
                <w:bCs/>
                <w:color w:val="000000"/>
                <w:spacing w:val="27"/>
              </w:rPr>
            </w:pPr>
            <w:r>
              <w:rPr>
                <w:rFonts w:hint="eastAsia"/>
                <w:bCs/>
                <w:color w:val="000000"/>
                <w:spacing w:val="27"/>
              </w:rPr>
              <w:t>概</w:t>
            </w:r>
          </w:p>
          <w:p>
            <w:pPr>
              <w:pStyle w:val="39"/>
              <w:shd w:val="clear" w:color="auto" w:fill="FFFFFF"/>
              <w:spacing w:line="360" w:lineRule="auto"/>
              <w:ind w:left="107"/>
              <w:rPr>
                <w:bCs/>
                <w:color w:val="000000"/>
              </w:rPr>
            </w:pPr>
            <w:r>
              <w:rPr>
                <w:rFonts w:hint="eastAsia"/>
                <w:bCs/>
                <w:color w:val="000000"/>
                <w:spacing w:val="27"/>
              </w:rPr>
              <w:t>况</w:t>
            </w:r>
          </w:p>
        </w:tc>
        <w:tc>
          <w:tcPr>
            <w:tcW w:w="1050" w:type="dxa"/>
            <w:tcBorders>
              <w:top w:val="single" w:color="auto" w:sz="4" w:space="0"/>
            </w:tcBorders>
          </w:tcPr>
          <w:p>
            <w:pPr>
              <w:pStyle w:val="39"/>
              <w:shd w:val="clear" w:color="auto" w:fill="FFFFFF"/>
              <w:spacing w:line="360" w:lineRule="auto"/>
              <w:rPr>
                <w:bCs/>
                <w:color w:val="000000"/>
                <w:spacing w:val="16"/>
              </w:rPr>
            </w:pPr>
            <w:r>
              <w:rPr>
                <w:rFonts w:hint="eastAsia"/>
                <w:bCs/>
                <w:color w:val="000000"/>
                <w:spacing w:val="16"/>
              </w:rPr>
              <w:t>职工人数</w:t>
            </w:r>
          </w:p>
        </w:tc>
        <w:tc>
          <w:tcPr>
            <w:tcW w:w="1170" w:type="dxa"/>
            <w:gridSpan w:val="2"/>
            <w:tcBorders>
              <w:top w:val="single" w:color="auto" w:sz="4" w:space="0"/>
            </w:tcBorders>
          </w:tcPr>
          <w:p>
            <w:pPr>
              <w:pStyle w:val="39"/>
              <w:shd w:val="clear" w:color="auto" w:fill="FFFFFF"/>
              <w:spacing w:line="360" w:lineRule="auto"/>
              <w:rPr>
                <w:bCs/>
                <w:color w:val="000000"/>
                <w:spacing w:val="16"/>
              </w:rPr>
            </w:pPr>
          </w:p>
        </w:tc>
        <w:tc>
          <w:tcPr>
            <w:tcW w:w="1410" w:type="dxa"/>
            <w:gridSpan w:val="2"/>
            <w:tcBorders>
              <w:top w:val="single" w:color="auto" w:sz="4" w:space="0"/>
            </w:tcBorders>
          </w:tcPr>
          <w:p>
            <w:pPr>
              <w:pStyle w:val="39"/>
              <w:shd w:val="clear" w:color="auto" w:fill="FFFFFF"/>
              <w:spacing w:before="0" w:beforeAutospacing="0" w:after="0" w:afterAutospacing="0" w:line="360" w:lineRule="auto"/>
              <w:rPr>
                <w:bCs/>
                <w:color w:val="000000"/>
              </w:rPr>
            </w:pPr>
            <w:r>
              <w:rPr>
                <w:rFonts w:hint="eastAsia"/>
                <w:bCs/>
                <w:color w:val="000000"/>
                <w:spacing w:val="18"/>
              </w:rPr>
              <w:t>具备大专以</w:t>
            </w:r>
            <w:r>
              <w:rPr>
                <w:rFonts w:hint="eastAsia"/>
                <w:bCs/>
                <w:color w:val="000000"/>
                <w:spacing w:val="12"/>
              </w:rPr>
              <w:t>上学历人数</w:t>
            </w:r>
          </w:p>
        </w:tc>
        <w:tc>
          <w:tcPr>
            <w:tcW w:w="1440" w:type="dxa"/>
            <w:gridSpan w:val="2"/>
            <w:tcBorders>
              <w:top w:val="single" w:color="auto" w:sz="4" w:space="0"/>
            </w:tcBorders>
          </w:tcPr>
          <w:p>
            <w:pPr>
              <w:widowControl/>
              <w:spacing w:line="360" w:lineRule="auto"/>
              <w:jc w:val="left"/>
              <w:rPr>
                <w:rFonts w:ascii="宋体" w:hAnsi="宋体" w:cs="宋体"/>
                <w:bCs/>
                <w:color w:val="000000"/>
                <w:spacing w:val="16"/>
                <w:kern w:val="0"/>
                <w:sz w:val="24"/>
              </w:rPr>
            </w:pPr>
          </w:p>
          <w:p>
            <w:pPr>
              <w:widowControl/>
              <w:spacing w:line="360" w:lineRule="auto"/>
              <w:jc w:val="left"/>
              <w:rPr>
                <w:rFonts w:ascii="宋体" w:hAnsi="宋体" w:cs="宋体"/>
                <w:bCs/>
                <w:color w:val="000000"/>
                <w:spacing w:val="16"/>
                <w:kern w:val="0"/>
                <w:sz w:val="24"/>
              </w:rPr>
            </w:pPr>
          </w:p>
          <w:p>
            <w:pPr>
              <w:pStyle w:val="39"/>
              <w:shd w:val="clear" w:color="auto" w:fill="FFFFFF"/>
              <w:spacing w:line="360" w:lineRule="auto"/>
              <w:rPr>
                <w:bCs/>
                <w:color w:val="000000"/>
                <w:spacing w:val="16"/>
              </w:rPr>
            </w:pPr>
          </w:p>
        </w:tc>
        <w:tc>
          <w:tcPr>
            <w:tcW w:w="1395" w:type="dxa"/>
            <w:gridSpan w:val="2"/>
            <w:tcBorders>
              <w:top w:val="single" w:color="auto" w:sz="4" w:space="0"/>
            </w:tcBorders>
          </w:tcPr>
          <w:p>
            <w:pPr>
              <w:pStyle w:val="39"/>
              <w:shd w:val="clear" w:color="auto" w:fill="FFFFFF"/>
              <w:spacing w:line="360" w:lineRule="auto"/>
              <w:rPr>
                <w:bCs/>
                <w:color w:val="000000"/>
                <w:spacing w:val="16"/>
              </w:rPr>
            </w:pPr>
            <w:r>
              <w:rPr>
                <w:rFonts w:hint="eastAsia"/>
                <w:bCs/>
                <w:color w:val="000000"/>
                <w:spacing w:val="65"/>
              </w:rPr>
              <w:t>国家授予技</w:t>
            </w:r>
            <w:r>
              <w:rPr>
                <w:rFonts w:hint="eastAsia"/>
                <w:bCs/>
                <w:color w:val="000000"/>
                <w:spacing w:val="12"/>
              </w:rPr>
              <w:t>术职称人数</w:t>
            </w:r>
          </w:p>
        </w:tc>
        <w:tc>
          <w:tcPr>
            <w:tcW w:w="1882" w:type="dxa"/>
            <w:gridSpan w:val="2"/>
            <w:tcBorders>
              <w:top w:val="single" w:color="auto" w:sz="4" w:space="0"/>
            </w:tcBorders>
          </w:tcPr>
          <w:p>
            <w:pPr>
              <w:widowControl/>
              <w:spacing w:line="360" w:lineRule="auto"/>
              <w:jc w:val="left"/>
              <w:rPr>
                <w:rFonts w:ascii="宋体" w:hAnsi="宋体" w:cs="宋体"/>
                <w:bCs/>
                <w:color w:val="000000"/>
                <w:spacing w:val="16"/>
                <w:kern w:val="0"/>
                <w:sz w:val="24"/>
              </w:rPr>
            </w:pPr>
          </w:p>
          <w:p>
            <w:pPr>
              <w:pStyle w:val="39"/>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trPr>
        <w:tc>
          <w:tcPr>
            <w:tcW w:w="833" w:type="dxa"/>
            <w:vMerge w:val="continue"/>
          </w:tcPr>
          <w:p>
            <w:pPr>
              <w:pStyle w:val="39"/>
              <w:shd w:val="clear" w:color="auto" w:fill="FFFFFF"/>
              <w:spacing w:line="360" w:lineRule="auto"/>
              <w:ind w:left="107"/>
              <w:rPr>
                <w:bCs/>
                <w:color w:val="000000"/>
              </w:rPr>
            </w:pPr>
          </w:p>
        </w:tc>
        <w:tc>
          <w:tcPr>
            <w:tcW w:w="1050" w:type="dxa"/>
          </w:tcPr>
          <w:p>
            <w:pPr>
              <w:pStyle w:val="39"/>
              <w:shd w:val="clear" w:color="auto" w:fill="FFFFFF"/>
              <w:spacing w:line="360" w:lineRule="auto"/>
              <w:rPr>
                <w:bCs/>
                <w:color w:val="000000"/>
              </w:rPr>
            </w:pPr>
            <w:r>
              <w:rPr>
                <w:rFonts w:hint="eastAsia"/>
                <w:bCs/>
                <w:color w:val="000000"/>
                <w:spacing w:val="16"/>
              </w:rPr>
              <w:t>占地面积</w:t>
            </w:r>
          </w:p>
        </w:tc>
        <w:tc>
          <w:tcPr>
            <w:tcW w:w="1170" w:type="dxa"/>
            <w:gridSpan w:val="2"/>
          </w:tcPr>
          <w:p>
            <w:pPr>
              <w:pStyle w:val="39"/>
              <w:shd w:val="clear" w:color="auto" w:fill="FFFFFF"/>
              <w:spacing w:line="360" w:lineRule="auto"/>
              <w:rPr>
                <w:bCs/>
                <w:color w:val="000000"/>
              </w:rPr>
            </w:pPr>
          </w:p>
        </w:tc>
        <w:tc>
          <w:tcPr>
            <w:tcW w:w="1410" w:type="dxa"/>
            <w:gridSpan w:val="2"/>
          </w:tcPr>
          <w:p>
            <w:pPr>
              <w:pStyle w:val="39"/>
              <w:shd w:val="clear" w:color="auto" w:fill="FFFFFF"/>
              <w:spacing w:line="360" w:lineRule="auto"/>
              <w:rPr>
                <w:bCs/>
                <w:color w:val="000000"/>
              </w:rPr>
            </w:pPr>
            <w:r>
              <w:rPr>
                <w:rFonts w:hint="eastAsia"/>
                <w:bCs/>
                <w:color w:val="000000"/>
                <w:spacing w:val="16"/>
              </w:rPr>
              <w:t>建筑面积</w:t>
            </w:r>
          </w:p>
        </w:tc>
        <w:tc>
          <w:tcPr>
            <w:tcW w:w="1440" w:type="dxa"/>
            <w:gridSpan w:val="2"/>
          </w:tcPr>
          <w:p>
            <w:pPr>
              <w:pStyle w:val="39"/>
              <w:shd w:val="clear" w:color="auto" w:fill="FFFFFF"/>
              <w:spacing w:line="360" w:lineRule="auto"/>
              <w:ind w:firstLine="480" w:firstLineChars="200"/>
              <w:rPr>
                <w:bCs/>
                <w:color w:val="000000"/>
              </w:rPr>
            </w:pPr>
            <w:r>
              <w:rPr>
                <w:rFonts w:hint="eastAsia"/>
                <w:bCs/>
                <w:color w:val="000000"/>
              </w:rPr>
              <w:t xml:space="preserve">平方米 </w:t>
            </w:r>
          </w:p>
          <w:p>
            <w:pPr>
              <w:pStyle w:val="39"/>
              <w:shd w:val="clear" w:color="auto" w:fill="FFFFFF"/>
              <w:spacing w:line="360" w:lineRule="auto"/>
              <w:rPr>
                <w:bCs/>
                <w:color w:val="000000"/>
              </w:rPr>
            </w:pPr>
            <w:r>
              <w:rPr>
                <w:rFonts w:hint="eastAsia"/>
                <w:bCs/>
                <w:color w:val="000000"/>
                <w:spacing w:val="16"/>
              </w:rPr>
              <w:t>□自有□租賃</w:t>
            </w:r>
          </w:p>
        </w:tc>
        <w:tc>
          <w:tcPr>
            <w:tcW w:w="1395" w:type="dxa"/>
            <w:gridSpan w:val="2"/>
          </w:tcPr>
          <w:p>
            <w:pPr>
              <w:pStyle w:val="39"/>
              <w:shd w:val="clear" w:color="auto" w:fill="FFFFFF"/>
              <w:spacing w:line="360" w:lineRule="auto"/>
              <w:rPr>
                <w:bCs/>
                <w:color w:val="000000"/>
              </w:rPr>
            </w:pPr>
            <w:r>
              <w:rPr>
                <w:rFonts w:hint="eastAsia"/>
                <w:bCs/>
                <w:color w:val="000000"/>
                <w:spacing w:val="16"/>
              </w:rPr>
              <w:t>生产经营场所及场所的设施与设备</w:t>
            </w:r>
          </w:p>
        </w:tc>
        <w:tc>
          <w:tcPr>
            <w:tcW w:w="1882" w:type="dxa"/>
            <w:gridSpan w:val="2"/>
          </w:tcPr>
          <w:p>
            <w:pPr>
              <w:pStyle w:val="39"/>
              <w:shd w:val="clear" w:color="auto" w:fill="FFFFFF"/>
              <w:spacing w:before="0" w:beforeAutospacing="0" w:after="0" w:afterAutospacing="0"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833" w:type="dxa"/>
            <w:vMerge w:val="continue"/>
          </w:tcPr>
          <w:p>
            <w:pPr>
              <w:pStyle w:val="39"/>
              <w:shd w:val="clear" w:color="auto" w:fill="FFFFFF"/>
              <w:spacing w:line="360" w:lineRule="auto"/>
              <w:ind w:left="107"/>
              <w:rPr>
                <w:bCs/>
                <w:color w:val="000000"/>
              </w:rPr>
            </w:pPr>
          </w:p>
        </w:tc>
        <w:tc>
          <w:tcPr>
            <w:tcW w:w="1050" w:type="dxa"/>
          </w:tcPr>
          <w:p>
            <w:pPr>
              <w:pStyle w:val="39"/>
              <w:shd w:val="clear" w:color="auto" w:fill="FFFFFF"/>
              <w:spacing w:line="360" w:lineRule="auto"/>
              <w:ind w:left="2"/>
              <w:rPr>
                <w:bCs/>
                <w:color w:val="000000"/>
                <w:spacing w:val="16"/>
              </w:rPr>
            </w:pPr>
            <w:r>
              <w:rPr>
                <w:rFonts w:hint="eastAsia"/>
                <w:bCs/>
                <w:color w:val="000000"/>
                <w:spacing w:val="16"/>
              </w:rPr>
              <w:t>注册资金</w:t>
            </w:r>
          </w:p>
        </w:tc>
        <w:tc>
          <w:tcPr>
            <w:tcW w:w="1170" w:type="dxa"/>
            <w:gridSpan w:val="2"/>
          </w:tcPr>
          <w:p>
            <w:pPr>
              <w:pStyle w:val="39"/>
              <w:shd w:val="clear" w:color="auto" w:fill="FFFFFF"/>
              <w:spacing w:line="360" w:lineRule="auto"/>
              <w:ind w:left="2"/>
              <w:rPr>
                <w:bCs/>
                <w:color w:val="000000"/>
              </w:rPr>
            </w:pPr>
          </w:p>
        </w:tc>
        <w:tc>
          <w:tcPr>
            <w:tcW w:w="1410" w:type="dxa"/>
            <w:gridSpan w:val="2"/>
          </w:tcPr>
          <w:p>
            <w:pPr>
              <w:pStyle w:val="39"/>
              <w:shd w:val="clear" w:color="auto" w:fill="FFFFFF"/>
              <w:spacing w:line="360" w:lineRule="auto"/>
              <w:ind w:left="107"/>
              <w:rPr>
                <w:bCs/>
                <w:color w:val="000000"/>
              </w:rPr>
            </w:pPr>
            <w:r>
              <w:rPr>
                <w:rFonts w:hint="eastAsia"/>
                <w:bCs/>
                <w:color w:val="000000"/>
                <w:spacing w:val="16"/>
              </w:rPr>
              <w:t>注册发证</w:t>
            </w:r>
            <w:r>
              <w:rPr>
                <w:rFonts w:hint="eastAsia"/>
                <w:bCs/>
                <w:color w:val="000000"/>
                <w:spacing w:val="27"/>
              </w:rPr>
              <w:t>机关</w:t>
            </w:r>
          </w:p>
        </w:tc>
        <w:tc>
          <w:tcPr>
            <w:tcW w:w="2835" w:type="dxa"/>
            <w:gridSpan w:val="4"/>
          </w:tcPr>
          <w:p>
            <w:pPr>
              <w:widowControl/>
              <w:spacing w:line="360" w:lineRule="auto"/>
              <w:jc w:val="left"/>
              <w:rPr>
                <w:rFonts w:ascii="宋体" w:hAnsi="宋体" w:cs="宋体"/>
                <w:bCs/>
                <w:color w:val="000000"/>
                <w:kern w:val="0"/>
                <w:sz w:val="24"/>
              </w:rPr>
            </w:pPr>
          </w:p>
          <w:p>
            <w:pPr>
              <w:pStyle w:val="39"/>
              <w:shd w:val="clear" w:color="auto" w:fill="FFFFFF"/>
              <w:spacing w:line="360" w:lineRule="auto"/>
              <w:ind w:left="107"/>
              <w:rPr>
                <w:bCs/>
                <w:color w:val="000000"/>
              </w:rPr>
            </w:pPr>
          </w:p>
        </w:tc>
        <w:tc>
          <w:tcPr>
            <w:tcW w:w="750" w:type="dxa"/>
          </w:tcPr>
          <w:p>
            <w:pPr>
              <w:pStyle w:val="39"/>
              <w:shd w:val="clear" w:color="auto" w:fill="FFFFFF"/>
              <w:spacing w:line="360" w:lineRule="auto"/>
              <w:ind w:left="107"/>
              <w:rPr>
                <w:bCs/>
                <w:color w:val="000000"/>
              </w:rPr>
            </w:pPr>
            <w:r>
              <w:rPr>
                <w:rFonts w:hint="eastAsia"/>
                <w:bCs/>
                <w:color w:val="000000"/>
              </w:rPr>
              <w:t>公司成</w:t>
            </w:r>
            <w:r>
              <w:rPr>
                <w:rFonts w:hint="eastAsia"/>
                <w:bCs/>
                <w:color w:val="000000"/>
                <w:spacing w:val="12"/>
              </w:rPr>
              <w:t>立时间</w:t>
            </w:r>
          </w:p>
        </w:tc>
        <w:tc>
          <w:tcPr>
            <w:tcW w:w="1132" w:type="dxa"/>
          </w:tcPr>
          <w:p>
            <w:pPr>
              <w:pStyle w:val="39"/>
              <w:shd w:val="clear" w:color="auto" w:fill="FFFFFF"/>
              <w:spacing w:line="360" w:lineRule="auto"/>
              <w:ind w:left="107"/>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833" w:type="dxa"/>
            <w:vMerge w:val="continue"/>
          </w:tcPr>
          <w:p>
            <w:pPr>
              <w:pStyle w:val="39"/>
              <w:shd w:val="clear" w:color="auto" w:fill="FFFFFF"/>
              <w:spacing w:line="360" w:lineRule="auto"/>
              <w:ind w:left="107"/>
              <w:rPr>
                <w:bCs/>
                <w:color w:val="000000"/>
              </w:rPr>
            </w:pPr>
          </w:p>
        </w:tc>
        <w:tc>
          <w:tcPr>
            <w:tcW w:w="1050" w:type="dxa"/>
          </w:tcPr>
          <w:p>
            <w:pPr>
              <w:pStyle w:val="39"/>
              <w:shd w:val="clear" w:color="auto" w:fill="FFFFFF"/>
              <w:spacing w:line="360" w:lineRule="auto"/>
              <w:ind w:left="2"/>
              <w:rPr>
                <w:bCs/>
                <w:color w:val="000000"/>
              </w:rPr>
            </w:pPr>
            <w:r>
              <w:rPr>
                <w:rFonts w:hint="eastAsia"/>
                <w:bCs/>
                <w:color w:val="000000"/>
              </w:rPr>
              <w:t>核准经营范围</w:t>
            </w:r>
          </w:p>
        </w:tc>
        <w:tc>
          <w:tcPr>
            <w:tcW w:w="7297" w:type="dxa"/>
            <w:gridSpan w:val="10"/>
          </w:tcPr>
          <w:p>
            <w:pPr>
              <w:pStyle w:val="39"/>
              <w:shd w:val="clear" w:color="auto" w:fill="FFFFFF"/>
              <w:spacing w:line="360" w:lineRule="auto"/>
              <w:ind w:left="107"/>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833" w:type="dxa"/>
            <w:vMerge w:val="continue"/>
          </w:tcPr>
          <w:p>
            <w:pPr>
              <w:pStyle w:val="39"/>
              <w:shd w:val="clear" w:color="auto" w:fill="FFFFFF"/>
              <w:spacing w:line="360" w:lineRule="auto"/>
              <w:ind w:left="107"/>
              <w:rPr>
                <w:bCs/>
                <w:color w:val="000000"/>
              </w:rPr>
            </w:pPr>
          </w:p>
        </w:tc>
        <w:tc>
          <w:tcPr>
            <w:tcW w:w="8347" w:type="dxa"/>
            <w:gridSpan w:val="11"/>
          </w:tcPr>
          <w:p>
            <w:pPr>
              <w:pStyle w:val="39"/>
              <w:shd w:val="clear" w:color="auto" w:fill="FFFFFF"/>
              <w:spacing w:line="360" w:lineRule="auto"/>
              <w:rPr>
                <w:bCs/>
                <w:color w:val="000000"/>
                <w:spacing w:val="13"/>
              </w:rPr>
            </w:pPr>
            <w:r>
              <w:rPr>
                <w:rFonts w:hint="eastAsia"/>
                <w:bCs/>
                <w:color w:val="000000"/>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3" w:type="dxa"/>
            <w:vMerge w:val="restart"/>
          </w:tcPr>
          <w:p>
            <w:pPr>
              <w:pStyle w:val="39"/>
              <w:shd w:val="clear" w:color="auto" w:fill="FFFFFF"/>
              <w:spacing w:line="360" w:lineRule="auto"/>
              <w:ind w:left="107"/>
              <w:rPr>
                <w:bCs/>
                <w:color w:val="000000"/>
              </w:rPr>
            </w:pPr>
            <w:r>
              <w:rPr>
                <w:bCs/>
                <w:color w:val="000000"/>
              </w:rPr>
              <w:t>2</w:t>
            </w:r>
            <w:r>
              <w:rPr>
                <w:rFonts w:hint="eastAsia"/>
                <w:bCs/>
                <w:color w:val="000000"/>
              </w:rPr>
              <w:t>．</w:t>
            </w:r>
          </w:p>
          <w:p>
            <w:pPr>
              <w:pStyle w:val="39"/>
              <w:shd w:val="clear" w:color="auto" w:fill="FFFFFF"/>
              <w:spacing w:line="360" w:lineRule="auto"/>
              <w:ind w:left="107"/>
              <w:rPr>
                <w:bCs/>
                <w:color w:val="000000"/>
                <w:spacing w:val="16"/>
              </w:rPr>
            </w:pPr>
            <w:r>
              <w:rPr>
                <w:rFonts w:hint="eastAsia"/>
                <w:bCs/>
                <w:color w:val="000000"/>
              </w:rPr>
              <w:t>企</w:t>
            </w:r>
            <w:r>
              <w:rPr>
                <w:rFonts w:hint="eastAsia"/>
                <w:bCs/>
                <w:color w:val="000000"/>
                <w:spacing w:val="12"/>
              </w:rPr>
              <w:t>业有关资质获证情况</w:t>
            </w:r>
          </w:p>
        </w:tc>
        <w:tc>
          <w:tcPr>
            <w:tcW w:w="1402" w:type="dxa"/>
            <w:gridSpan w:val="2"/>
            <w:vMerge w:val="restart"/>
          </w:tcPr>
          <w:p>
            <w:pPr>
              <w:pStyle w:val="39"/>
              <w:shd w:val="clear" w:color="auto" w:fill="FFFFFF"/>
              <w:spacing w:before="0" w:beforeAutospacing="0" w:after="0" w:afterAutospacing="0" w:line="360" w:lineRule="auto"/>
              <w:rPr>
                <w:bCs/>
                <w:color w:val="000000"/>
                <w:spacing w:val="16"/>
              </w:rPr>
            </w:pPr>
            <w:r>
              <w:rPr>
                <w:rFonts w:hint="eastAsia"/>
                <w:bCs/>
                <w:color w:val="000000"/>
                <w:spacing w:val="12"/>
              </w:rPr>
              <w:t>产品生产许可证情况</w:t>
            </w:r>
            <w:r>
              <w:rPr>
                <w:rFonts w:hint="eastAsia"/>
                <w:bCs/>
                <w:color w:val="000000"/>
                <w:spacing w:val="41"/>
              </w:rPr>
              <w:t>（对需获得生产许可证的</w:t>
            </w:r>
            <w:r>
              <w:rPr>
                <w:rFonts w:hint="eastAsia"/>
                <w:bCs/>
                <w:color w:val="000000"/>
                <w:spacing w:val="11"/>
              </w:rPr>
              <w:t>产品要填写此栏）</w:t>
            </w:r>
          </w:p>
        </w:tc>
        <w:tc>
          <w:tcPr>
            <w:tcW w:w="1333" w:type="dxa"/>
            <w:gridSpan w:val="2"/>
          </w:tcPr>
          <w:p>
            <w:pPr>
              <w:pStyle w:val="39"/>
              <w:shd w:val="clear" w:color="auto" w:fill="FFFFFF"/>
              <w:spacing w:line="360" w:lineRule="auto"/>
              <w:ind w:right="-78" w:rightChars="-37"/>
              <w:rPr>
                <w:bCs/>
                <w:color w:val="000000"/>
                <w:spacing w:val="16"/>
              </w:rPr>
            </w:pPr>
            <w:r>
              <w:rPr>
                <w:rFonts w:hint="eastAsia"/>
                <w:bCs/>
                <w:color w:val="000000"/>
                <w:spacing w:val="16"/>
              </w:rPr>
              <w:t>产品名称</w:t>
            </w:r>
          </w:p>
        </w:tc>
        <w:tc>
          <w:tcPr>
            <w:tcW w:w="1418" w:type="dxa"/>
            <w:gridSpan w:val="2"/>
          </w:tcPr>
          <w:p>
            <w:pPr>
              <w:pStyle w:val="39"/>
              <w:shd w:val="clear" w:color="auto" w:fill="FFFFFF"/>
              <w:spacing w:before="0" w:beforeAutospacing="0" w:after="0" w:afterAutospacing="0" w:line="360" w:lineRule="auto"/>
              <w:rPr>
                <w:bCs/>
                <w:color w:val="000000"/>
              </w:rPr>
            </w:pPr>
            <w:r>
              <w:rPr>
                <w:rFonts w:hint="eastAsia"/>
                <w:bCs/>
                <w:color w:val="000000"/>
                <w:spacing w:val="16"/>
              </w:rPr>
              <w:t>发证机关</w:t>
            </w:r>
          </w:p>
        </w:tc>
        <w:tc>
          <w:tcPr>
            <w:tcW w:w="1276" w:type="dxa"/>
            <w:gridSpan w:val="2"/>
          </w:tcPr>
          <w:p>
            <w:pPr>
              <w:pStyle w:val="39"/>
              <w:shd w:val="clear" w:color="auto" w:fill="FFFFFF"/>
              <w:spacing w:line="360" w:lineRule="auto"/>
              <w:jc w:val="center"/>
              <w:rPr>
                <w:bCs/>
                <w:color w:val="000000"/>
              </w:rPr>
            </w:pPr>
            <w:r>
              <w:rPr>
                <w:rFonts w:hint="eastAsia"/>
                <w:bCs/>
                <w:color w:val="000000"/>
                <w:spacing w:val="27"/>
              </w:rPr>
              <w:t>编号</w:t>
            </w:r>
          </w:p>
        </w:tc>
        <w:tc>
          <w:tcPr>
            <w:tcW w:w="1786" w:type="dxa"/>
            <w:gridSpan w:val="2"/>
          </w:tcPr>
          <w:p>
            <w:pPr>
              <w:pStyle w:val="39"/>
              <w:shd w:val="clear" w:color="auto" w:fill="FFFFFF"/>
              <w:spacing w:line="360" w:lineRule="auto"/>
              <w:jc w:val="center"/>
              <w:rPr>
                <w:bCs/>
                <w:color w:val="000000"/>
              </w:rPr>
            </w:pPr>
            <w:r>
              <w:rPr>
                <w:rFonts w:hint="eastAsia"/>
                <w:bCs/>
                <w:color w:val="000000"/>
                <w:spacing w:val="16"/>
              </w:rPr>
              <w:t>发证时间</w:t>
            </w:r>
          </w:p>
        </w:tc>
        <w:tc>
          <w:tcPr>
            <w:tcW w:w="1132" w:type="dxa"/>
          </w:tcPr>
          <w:p>
            <w:pPr>
              <w:pStyle w:val="39"/>
              <w:shd w:val="clear" w:color="auto" w:fill="FFFFFF"/>
              <w:spacing w:before="0" w:beforeAutospacing="0" w:after="0" w:afterAutospacing="0" w:line="360" w:lineRule="auto"/>
              <w:jc w:val="center"/>
              <w:rPr>
                <w:bCs/>
                <w:color w:val="000000"/>
              </w:rPr>
            </w:pPr>
            <w:r>
              <w:rPr>
                <w:rFonts w:hint="eastAsia"/>
                <w:bCs/>
                <w:color w:val="000000"/>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833" w:type="dxa"/>
            <w:vMerge w:val="continue"/>
          </w:tcPr>
          <w:p>
            <w:pPr>
              <w:pStyle w:val="39"/>
              <w:shd w:val="clear" w:color="auto" w:fill="FFFFFF"/>
              <w:spacing w:line="360" w:lineRule="auto"/>
              <w:ind w:left="107"/>
              <w:rPr>
                <w:bCs/>
                <w:color w:val="000000"/>
              </w:rPr>
            </w:pPr>
          </w:p>
        </w:tc>
        <w:tc>
          <w:tcPr>
            <w:tcW w:w="1402" w:type="dxa"/>
            <w:gridSpan w:val="2"/>
            <w:vMerge w:val="continue"/>
          </w:tcPr>
          <w:p>
            <w:pPr>
              <w:pStyle w:val="39"/>
              <w:shd w:val="clear" w:color="auto" w:fill="FFFFFF"/>
              <w:spacing w:line="360" w:lineRule="auto"/>
              <w:rPr>
                <w:bCs/>
                <w:color w:val="000000"/>
              </w:rPr>
            </w:pPr>
          </w:p>
        </w:tc>
        <w:tc>
          <w:tcPr>
            <w:tcW w:w="1333" w:type="dxa"/>
            <w:gridSpan w:val="2"/>
          </w:tcPr>
          <w:p>
            <w:pPr>
              <w:pStyle w:val="39"/>
              <w:shd w:val="clear" w:color="auto" w:fill="FFFFFF"/>
              <w:spacing w:line="360" w:lineRule="auto"/>
              <w:rPr>
                <w:bCs/>
                <w:color w:val="000000"/>
              </w:rPr>
            </w:pPr>
          </w:p>
        </w:tc>
        <w:tc>
          <w:tcPr>
            <w:tcW w:w="1418" w:type="dxa"/>
            <w:gridSpan w:val="2"/>
          </w:tcPr>
          <w:p>
            <w:pPr>
              <w:pStyle w:val="39"/>
              <w:shd w:val="clear" w:color="auto" w:fill="FFFFFF"/>
              <w:spacing w:line="360" w:lineRule="auto"/>
              <w:rPr>
                <w:bCs/>
                <w:color w:val="000000"/>
              </w:rPr>
            </w:pPr>
          </w:p>
        </w:tc>
        <w:tc>
          <w:tcPr>
            <w:tcW w:w="1276" w:type="dxa"/>
            <w:gridSpan w:val="2"/>
          </w:tcPr>
          <w:p>
            <w:pPr>
              <w:pStyle w:val="39"/>
              <w:shd w:val="clear" w:color="auto" w:fill="FFFFFF"/>
              <w:spacing w:line="360" w:lineRule="auto"/>
              <w:rPr>
                <w:bCs/>
                <w:color w:val="000000"/>
              </w:rPr>
            </w:pPr>
          </w:p>
        </w:tc>
        <w:tc>
          <w:tcPr>
            <w:tcW w:w="2918" w:type="dxa"/>
            <w:gridSpan w:val="3"/>
          </w:tcPr>
          <w:p>
            <w:pPr>
              <w:pStyle w:val="39"/>
              <w:shd w:val="clear" w:color="auto" w:fill="FFFFFF"/>
              <w:spacing w:line="360" w:lineRule="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833" w:type="dxa"/>
            <w:vMerge w:val="continue"/>
          </w:tcPr>
          <w:p>
            <w:pPr>
              <w:pStyle w:val="39"/>
              <w:shd w:val="clear" w:color="auto" w:fill="FFFFFF"/>
              <w:spacing w:line="360" w:lineRule="auto"/>
              <w:ind w:left="107"/>
              <w:rPr>
                <w:bCs/>
                <w:color w:val="000000"/>
                <w:spacing w:val="16"/>
              </w:rPr>
            </w:pPr>
          </w:p>
        </w:tc>
        <w:tc>
          <w:tcPr>
            <w:tcW w:w="1402" w:type="dxa"/>
            <w:gridSpan w:val="2"/>
          </w:tcPr>
          <w:p>
            <w:pPr>
              <w:pStyle w:val="39"/>
              <w:shd w:val="clear" w:color="auto" w:fill="FFFFFF"/>
              <w:spacing w:before="0" w:beforeAutospacing="0" w:after="0" w:afterAutospacing="0" w:line="360" w:lineRule="auto"/>
              <w:ind w:right="-107" w:rightChars="-51"/>
              <w:rPr>
                <w:bCs/>
                <w:color w:val="000000"/>
                <w:spacing w:val="41"/>
              </w:rPr>
            </w:pPr>
            <w:r>
              <w:rPr>
                <w:rFonts w:hint="eastAsia"/>
                <w:bCs/>
                <w:color w:val="000000"/>
                <w:spacing w:val="41"/>
              </w:rPr>
              <w:t>企业通过质量体系、环保</w:t>
            </w:r>
            <w:r>
              <w:rPr>
                <w:rFonts w:hint="eastAsia"/>
                <w:bCs/>
                <w:color w:val="000000"/>
                <w:spacing w:val="11"/>
              </w:rPr>
              <w:t>体系、计量等认证情况</w:t>
            </w:r>
          </w:p>
        </w:tc>
        <w:tc>
          <w:tcPr>
            <w:tcW w:w="6945" w:type="dxa"/>
            <w:gridSpan w:val="9"/>
          </w:tcPr>
          <w:p>
            <w:pPr>
              <w:pStyle w:val="39"/>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833" w:type="dxa"/>
            <w:vMerge w:val="continue"/>
          </w:tcPr>
          <w:p>
            <w:pPr>
              <w:pStyle w:val="39"/>
              <w:shd w:val="clear" w:color="auto" w:fill="FFFFFF"/>
              <w:spacing w:line="360" w:lineRule="auto"/>
              <w:ind w:left="107"/>
              <w:rPr>
                <w:bCs/>
                <w:color w:val="000000"/>
                <w:spacing w:val="27"/>
              </w:rPr>
            </w:pPr>
          </w:p>
        </w:tc>
        <w:tc>
          <w:tcPr>
            <w:tcW w:w="1402" w:type="dxa"/>
            <w:gridSpan w:val="2"/>
          </w:tcPr>
          <w:p>
            <w:pPr>
              <w:pStyle w:val="39"/>
              <w:shd w:val="clear" w:color="auto" w:fill="FFFFFF"/>
              <w:spacing w:line="360" w:lineRule="auto"/>
              <w:rPr>
                <w:bCs/>
                <w:color w:val="000000"/>
                <w:spacing w:val="16"/>
              </w:rPr>
            </w:pPr>
            <w:r>
              <w:rPr>
                <w:rFonts w:hint="eastAsia"/>
                <w:bCs/>
                <w:color w:val="000000"/>
                <w:spacing w:val="10"/>
              </w:rPr>
              <w:t>企业获得专利情况</w:t>
            </w:r>
          </w:p>
        </w:tc>
        <w:tc>
          <w:tcPr>
            <w:tcW w:w="6945" w:type="dxa"/>
            <w:gridSpan w:val="9"/>
          </w:tcPr>
          <w:p>
            <w:pPr>
              <w:pStyle w:val="39"/>
              <w:shd w:val="clear" w:color="auto" w:fill="FFFFFF"/>
              <w:spacing w:line="360" w:lineRule="auto"/>
              <w:rPr>
                <w:bCs/>
                <w:color w:val="000000"/>
                <w:spacing w:val="16"/>
              </w:rPr>
            </w:pPr>
          </w:p>
        </w:tc>
      </w:tr>
    </w:tbl>
    <w:p>
      <w:pPr>
        <w:pStyle w:val="39"/>
        <w:shd w:val="clear" w:color="auto" w:fill="FFFFFF"/>
        <w:spacing w:before="0" w:beforeAutospacing="0" w:after="0" w:afterAutospacing="0" w:line="360" w:lineRule="auto"/>
        <w:rPr>
          <w:rFonts w:ascii="仿宋_GB2312" w:eastAsia="仿宋_GB2312"/>
          <w:color w:val="000000"/>
        </w:rPr>
      </w:pPr>
    </w:p>
    <w:p>
      <w:pPr>
        <w:pStyle w:val="39"/>
        <w:shd w:val="clear" w:color="auto" w:fill="FFFFFF"/>
        <w:spacing w:before="0" w:beforeAutospacing="0" w:after="0" w:afterAutospacing="0" w:line="360" w:lineRule="auto"/>
        <w:rPr>
          <w:b/>
          <w:color w:val="000000"/>
          <w:sz w:val="21"/>
          <w:szCs w:val="21"/>
        </w:rPr>
      </w:pPr>
      <w:r>
        <w:rPr>
          <w:rFonts w:hint="eastAsia"/>
          <w:b/>
          <w:color w:val="000000"/>
          <w:sz w:val="21"/>
          <w:szCs w:val="21"/>
        </w:rPr>
        <w:t>要求：</w:t>
      </w:r>
    </w:p>
    <w:p>
      <w:pPr>
        <w:pStyle w:val="39"/>
        <w:shd w:val="clear" w:color="auto" w:fill="FFFFFF"/>
        <w:spacing w:before="0" w:beforeAutospacing="0" w:after="0" w:afterAutospacing="0" w:line="360" w:lineRule="auto"/>
        <w:ind w:firstLine="424" w:firstLineChars="202"/>
        <w:rPr>
          <w:color w:val="000000"/>
        </w:rPr>
      </w:pPr>
      <w:r>
        <w:rPr>
          <w:rFonts w:hint="eastAsia" w:ascii="仿宋_GB2312" w:eastAsia="仿宋_GB2312"/>
          <w:color w:val="000000"/>
          <w:sz w:val="21"/>
          <w:szCs w:val="21"/>
        </w:rPr>
        <w:t>1.</w:t>
      </w:r>
      <w:r>
        <w:rPr>
          <w:rFonts w:hint="eastAsia"/>
          <w:color w:val="000000"/>
          <w:sz w:val="21"/>
          <w:szCs w:val="21"/>
        </w:rPr>
        <w:t>姓名栏必须将所有股东都统计在内，若非股份公司此行（第三行）无需填写；</w:t>
      </w:r>
    </w:p>
    <w:p>
      <w:pPr>
        <w:rPr>
          <w:rFonts w:ascii="宋体" w:hAnsi="宋体"/>
          <w:color w:val="000000"/>
          <w:sz w:val="24"/>
        </w:rPr>
      </w:pPr>
    </w:p>
    <w:p>
      <w:pPr>
        <w:pStyle w:val="10"/>
        <w:spacing w:line="560" w:lineRule="exact"/>
        <w:ind w:firstLine="5520" w:firstLineChars="2300"/>
        <w:rPr>
          <w:rFonts w:hAnsi="宋体"/>
          <w:sz w:val="24"/>
          <w:lang w:val="zh-CN"/>
        </w:rPr>
      </w:pPr>
      <w:r>
        <w:rPr>
          <w:rFonts w:hAnsi="宋体"/>
          <w:sz w:val="24"/>
          <w:lang w:val="zh-CN"/>
        </w:rPr>
        <w:t>投标人（盖单位章）：</w:t>
      </w:r>
    </w:p>
    <w:p>
      <w:pPr>
        <w:pStyle w:val="10"/>
        <w:spacing w:line="560" w:lineRule="exact"/>
        <w:ind w:firstLine="3600" w:firstLineChars="1500"/>
        <w:rPr>
          <w:rFonts w:hAnsi="宋体"/>
          <w:sz w:val="24"/>
          <w:lang w:val="zh-CN"/>
        </w:rPr>
      </w:pPr>
      <w:r>
        <w:rPr>
          <w:rFonts w:hAnsi="宋体"/>
          <w:sz w:val="24"/>
          <w:lang w:val="zh-CN"/>
        </w:rPr>
        <w:t>法定代表人或</w:t>
      </w:r>
      <w:r>
        <w:rPr>
          <w:rFonts w:hint="eastAsia" w:hAnsi="宋体"/>
          <w:sz w:val="24"/>
          <w:lang w:val="zh-CN"/>
        </w:rPr>
        <w:t>全权代表</w:t>
      </w:r>
      <w:r>
        <w:rPr>
          <w:rFonts w:hAnsi="宋体"/>
          <w:sz w:val="24"/>
          <w:lang w:val="zh-CN"/>
        </w:rPr>
        <w:t>（盖章或签字）：</w:t>
      </w:r>
    </w:p>
    <w:p>
      <w:pPr>
        <w:pStyle w:val="10"/>
        <w:spacing w:line="560" w:lineRule="exact"/>
        <w:rPr>
          <w:rFonts w:hAnsi="宋体"/>
          <w:sz w:val="24"/>
          <w:lang w:val="zh-CN"/>
        </w:rPr>
      </w:pPr>
      <w:r>
        <w:rPr>
          <w:rFonts w:hAnsi="宋体"/>
          <w:sz w:val="24"/>
          <w:lang w:val="zh-CN"/>
        </w:rPr>
        <w:t xml:space="preserve">                                   </w:t>
      </w:r>
      <w:r>
        <w:rPr>
          <w:rFonts w:hint="eastAsia" w:hAnsi="宋体"/>
          <w:sz w:val="24"/>
          <w:lang w:val="zh-CN"/>
        </w:rPr>
        <w:t xml:space="preserve">                        </w:t>
      </w:r>
      <w:r>
        <w:rPr>
          <w:rFonts w:hAnsi="宋体"/>
          <w:sz w:val="24"/>
          <w:lang w:val="zh-CN"/>
        </w:rPr>
        <w:t>日</w:t>
      </w:r>
      <w:r>
        <w:rPr>
          <w:rFonts w:hint="eastAsia" w:hAnsi="宋体"/>
          <w:sz w:val="24"/>
          <w:lang w:val="zh-CN"/>
        </w:rPr>
        <w:t xml:space="preserve"> </w:t>
      </w:r>
      <w:r>
        <w:rPr>
          <w:rFonts w:hAnsi="宋体"/>
          <w:sz w:val="24"/>
          <w:lang w:val="zh-CN"/>
        </w:rPr>
        <w:t>期：</w:t>
      </w:r>
    </w:p>
    <w:p>
      <w:pPr>
        <w:pStyle w:val="2"/>
        <w:rPr>
          <w:rFonts w:hint="eastAsia"/>
          <w:lang w:val="zh-CN"/>
        </w:rPr>
      </w:pPr>
    </w:p>
    <w:p>
      <w:pPr>
        <w:pStyle w:val="2"/>
        <w:rPr>
          <w:rFonts w:hint="eastAsia"/>
          <w:lang w:val="zh-CN"/>
        </w:rPr>
      </w:pPr>
    </w:p>
    <w:p>
      <w:pPr>
        <w:widowControl/>
        <w:jc w:val="left"/>
        <w:rPr>
          <w:sz w:val="24"/>
          <w:lang w:val="zh-CN"/>
        </w:rPr>
      </w:pPr>
      <w:r>
        <w:rPr>
          <w:lang w:val="zh-CN"/>
        </w:rPr>
        <w:br w:type="page"/>
      </w:r>
    </w:p>
    <w:p>
      <w:pPr>
        <w:pStyle w:val="4"/>
        <w:spacing w:before="0" w:after="0" w:line="360" w:lineRule="auto"/>
        <w:rPr>
          <w:rFonts w:hint="eastAsia"/>
          <w:kern w:val="0"/>
        </w:rPr>
      </w:pPr>
      <w:bookmarkStart w:id="52" w:name="_Toc19880436"/>
      <w:r>
        <w:rPr>
          <w:rFonts w:hint="eastAsia"/>
          <w:kern w:val="0"/>
        </w:rPr>
        <w:t>附件6</w:t>
      </w:r>
      <w:bookmarkEnd w:id="52"/>
    </w:p>
    <w:p>
      <w:pPr>
        <w:jc w:val="center"/>
        <w:rPr>
          <w:rFonts w:ascii="宋体"/>
          <w:b/>
          <w:sz w:val="32"/>
          <w:szCs w:val="32"/>
          <w:lang w:val="zh-CN"/>
        </w:rPr>
      </w:pPr>
      <w:r>
        <w:rPr>
          <w:rFonts w:hint="eastAsia" w:ascii="宋体" w:hAnsi="宋体"/>
          <w:b/>
          <w:sz w:val="24"/>
          <w:szCs w:val="44"/>
        </w:rPr>
        <w:t>技术响应表</w:t>
      </w:r>
    </w:p>
    <w:p>
      <w:pPr>
        <w:pStyle w:val="10"/>
        <w:spacing w:line="320" w:lineRule="exact"/>
        <w:rPr>
          <w:rFonts w:hAnsi="宋体"/>
          <w:b/>
          <w:sz w:val="24"/>
        </w:rPr>
      </w:pPr>
    </w:p>
    <w:tbl>
      <w:tblPr>
        <w:tblStyle w:val="18"/>
        <w:tblW w:w="9606" w:type="dxa"/>
        <w:tblInd w:w="0" w:type="dxa"/>
        <w:tblLayout w:type="fixed"/>
        <w:tblCellMar>
          <w:top w:w="0" w:type="dxa"/>
          <w:left w:w="108" w:type="dxa"/>
          <w:bottom w:w="0" w:type="dxa"/>
          <w:right w:w="108" w:type="dxa"/>
        </w:tblCellMar>
      </w:tblPr>
      <w:tblGrid>
        <w:gridCol w:w="949"/>
        <w:gridCol w:w="1427"/>
        <w:gridCol w:w="2835"/>
        <w:gridCol w:w="2410"/>
        <w:gridCol w:w="1985"/>
      </w:tblGrid>
      <w:tr>
        <w:tblPrEx>
          <w:tblLayout w:type="fixed"/>
          <w:tblCellMar>
            <w:top w:w="0" w:type="dxa"/>
            <w:left w:w="108" w:type="dxa"/>
            <w:bottom w:w="0" w:type="dxa"/>
            <w:right w:w="108" w:type="dxa"/>
          </w:tblCellMar>
        </w:tblPrEx>
        <w:trPr>
          <w:trHeight w:val="596" w:hRule="atLeast"/>
        </w:trPr>
        <w:tc>
          <w:tcPr>
            <w:tcW w:w="949" w:type="dxa"/>
            <w:tcBorders>
              <w:top w:val="single" w:color="auto" w:sz="6" w:space="0"/>
              <w:left w:val="single" w:color="auto" w:sz="6" w:space="0"/>
              <w:bottom w:val="single" w:color="auto" w:sz="6" w:space="0"/>
              <w:right w:val="single" w:color="auto" w:sz="6" w:space="0"/>
            </w:tcBorders>
            <w:vAlign w:val="center"/>
          </w:tcPr>
          <w:p>
            <w:pPr>
              <w:pStyle w:val="10"/>
              <w:spacing w:line="400" w:lineRule="atLeast"/>
              <w:jc w:val="center"/>
              <w:rPr>
                <w:rFonts w:hAnsi="宋体"/>
                <w:sz w:val="24"/>
                <w:szCs w:val="22"/>
              </w:rPr>
            </w:pPr>
            <w:r>
              <w:rPr>
                <w:rFonts w:hAnsi="宋体"/>
                <w:sz w:val="24"/>
                <w:szCs w:val="22"/>
              </w:rPr>
              <w:t>序号</w:t>
            </w:r>
          </w:p>
        </w:tc>
        <w:tc>
          <w:tcPr>
            <w:tcW w:w="1427" w:type="dxa"/>
            <w:tcBorders>
              <w:top w:val="single" w:color="auto" w:sz="6" w:space="0"/>
              <w:left w:val="single" w:color="auto" w:sz="6" w:space="0"/>
              <w:bottom w:val="single" w:color="auto" w:sz="6" w:space="0"/>
              <w:right w:val="single" w:color="auto" w:sz="4" w:space="0"/>
            </w:tcBorders>
            <w:vAlign w:val="center"/>
          </w:tcPr>
          <w:p>
            <w:pPr>
              <w:pStyle w:val="10"/>
              <w:spacing w:line="400" w:lineRule="atLeast"/>
              <w:jc w:val="center"/>
              <w:rPr>
                <w:rFonts w:hAnsi="宋体"/>
                <w:sz w:val="24"/>
                <w:szCs w:val="22"/>
              </w:rPr>
            </w:pPr>
            <w:r>
              <w:rPr>
                <w:rFonts w:hint="eastAsia" w:hAnsi="宋体"/>
                <w:sz w:val="24"/>
                <w:szCs w:val="22"/>
              </w:rPr>
              <w:t>项目名称</w:t>
            </w:r>
          </w:p>
        </w:tc>
        <w:tc>
          <w:tcPr>
            <w:tcW w:w="2835" w:type="dxa"/>
            <w:tcBorders>
              <w:top w:val="single" w:color="auto" w:sz="6" w:space="0"/>
              <w:left w:val="single" w:color="auto" w:sz="4" w:space="0"/>
              <w:bottom w:val="single" w:color="auto" w:sz="6" w:space="0"/>
              <w:right w:val="single" w:color="auto" w:sz="6" w:space="0"/>
            </w:tcBorders>
            <w:vAlign w:val="center"/>
          </w:tcPr>
          <w:p>
            <w:pPr>
              <w:pStyle w:val="10"/>
              <w:spacing w:line="400" w:lineRule="atLeast"/>
              <w:jc w:val="center"/>
              <w:rPr>
                <w:rFonts w:hAnsi="宋体"/>
                <w:sz w:val="24"/>
                <w:szCs w:val="22"/>
              </w:rPr>
            </w:pPr>
            <w:r>
              <w:rPr>
                <w:rFonts w:hAnsi="宋体"/>
                <w:sz w:val="24"/>
                <w:szCs w:val="22"/>
              </w:rPr>
              <w:t>招标文件要求</w:t>
            </w:r>
          </w:p>
        </w:tc>
        <w:tc>
          <w:tcPr>
            <w:tcW w:w="2410" w:type="dxa"/>
            <w:tcBorders>
              <w:top w:val="single" w:color="auto" w:sz="6" w:space="0"/>
              <w:left w:val="single" w:color="auto" w:sz="6" w:space="0"/>
              <w:bottom w:val="single" w:color="auto" w:sz="6" w:space="0"/>
              <w:right w:val="single" w:color="auto" w:sz="6" w:space="0"/>
            </w:tcBorders>
            <w:vAlign w:val="center"/>
          </w:tcPr>
          <w:p>
            <w:pPr>
              <w:pStyle w:val="10"/>
              <w:spacing w:line="400" w:lineRule="atLeast"/>
              <w:jc w:val="center"/>
              <w:rPr>
                <w:rFonts w:hAnsi="宋体"/>
                <w:sz w:val="24"/>
                <w:szCs w:val="22"/>
              </w:rPr>
            </w:pPr>
            <w:r>
              <w:rPr>
                <w:rFonts w:hAnsi="宋体"/>
                <w:sz w:val="24"/>
                <w:szCs w:val="22"/>
              </w:rPr>
              <w:t>投标文件响应</w:t>
            </w:r>
          </w:p>
        </w:tc>
        <w:tc>
          <w:tcPr>
            <w:tcW w:w="1985" w:type="dxa"/>
            <w:tcBorders>
              <w:top w:val="single" w:color="auto" w:sz="6" w:space="0"/>
              <w:left w:val="single" w:color="auto" w:sz="4" w:space="0"/>
              <w:bottom w:val="single" w:color="auto" w:sz="6" w:space="0"/>
              <w:right w:val="single" w:color="auto" w:sz="6" w:space="0"/>
            </w:tcBorders>
            <w:vAlign w:val="center"/>
          </w:tcPr>
          <w:p>
            <w:pPr>
              <w:pStyle w:val="10"/>
              <w:spacing w:line="400" w:lineRule="atLeast"/>
              <w:jc w:val="center"/>
              <w:rPr>
                <w:rFonts w:hAnsi="宋体"/>
                <w:sz w:val="24"/>
                <w:szCs w:val="22"/>
              </w:rPr>
            </w:pPr>
            <w:r>
              <w:rPr>
                <w:rFonts w:hAnsi="宋体"/>
                <w:sz w:val="24"/>
                <w:szCs w:val="22"/>
              </w:rPr>
              <w:t>偏离情况</w:t>
            </w:r>
          </w:p>
        </w:tc>
      </w:tr>
      <w:tr>
        <w:tblPrEx>
          <w:tblLayout w:type="fixed"/>
          <w:tblCellMar>
            <w:top w:w="0" w:type="dxa"/>
            <w:left w:w="108" w:type="dxa"/>
            <w:bottom w:w="0" w:type="dxa"/>
            <w:right w:w="108" w:type="dxa"/>
          </w:tblCellMar>
        </w:tblPrEx>
        <w:trPr>
          <w:trHeight w:val="557" w:hRule="atLeast"/>
        </w:trPr>
        <w:tc>
          <w:tcPr>
            <w:tcW w:w="949" w:type="dxa"/>
            <w:tcBorders>
              <w:top w:val="single" w:color="auto" w:sz="6" w:space="0"/>
              <w:left w:val="single" w:color="auto" w:sz="6" w:space="0"/>
              <w:bottom w:val="single" w:color="auto" w:sz="6" w:space="0"/>
              <w:right w:val="single" w:color="auto" w:sz="6" w:space="0"/>
            </w:tcBorders>
          </w:tcPr>
          <w:p>
            <w:pPr>
              <w:pStyle w:val="10"/>
              <w:spacing w:line="400" w:lineRule="atLeast"/>
              <w:rPr>
                <w:rFonts w:hAnsi="宋体"/>
                <w:sz w:val="24"/>
                <w:szCs w:val="22"/>
              </w:rPr>
            </w:pPr>
          </w:p>
        </w:tc>
        <w:tc>
          <w:tcPr>
            <w:tcW w:w="1427" w:type="dxa"/>
            <w:tcBorders>
              <w:top w:val="single" w:color="auto" w:sz="6" w:space="0"/>
              <w:left w:val="single" w:color="auto" w:sz="6" w:space="0"/>
              <w:bottom w:val="single" w:color="auto" w:sz="6" w:space="0"/>
              <w:right w:val="single" w:color="auto" w:sz="4" w:space="0"/>
            </w:tcBorders>
            <w:vAlign w:val="center"/>
          </w:tcPr>
          <w:p>
            <w:pPr>
              <w:pStyle w:val="10"/>
              <w:spacing w:line="400" w:lineRule="atLeast"/>
              <w:jc w:val="center"/>
              <w:rPr>
                <w:rFonts w:hAnsi="宋体"/>
                <w:sz w:val="24"/>
                <w:szCs w:val="22"/>
              </w:rPr>
            </w:pPr>
          </w:p>
        </w:tc>
        <w:tc>
          <w:tcPr>
            <w:tcW w:w="2835" w:type="dxa"/>
            <w:tcBorders>
              <w:top w:val="single" w:color="auto" w:sz="6" w:space="0"/>
              <w:left w:val="single" w:color="auto" w:sz="4" w:space="0"/>
              <w:bottom w:val="single" w:color="auto" w:sz="6" w:space="0"/>
              <w:right w:val="single" w:color="auto" w:sz="6" w:space="0"/>
            </w:tcBorders>
            <w:vAlign w:val="center"/>
          </w:tcPr>
          <w:p>
            <w:pPr>
              <w:pStyle w:val="10"/>
              <w:spacing w:line="400" w:lineRule="atLeast"/>
              <w:jc w:val="center"/>
              <w:rPr>
                <w:rFonts w:hAnsi="宋体"/>
                <w:sz w:val="24"/>
                <w:szCs w:val="22"/>
              </w:rPr>
            </w:pPr>
          </w:p>
        </w:tc>
        <w:tc>
          <w:tcPr>
            <w:tcW w:w="2410" w:type="dxa"/>
            <w:tcBorders>
              <w:top w:val="single" w:color="auto" w:sz="6" w:space="0"/>
              <w:left w:val="single" w:color="auto" w:sz="6" w:space="0"/>
              <w:bottom w:val="single" w:color="auto" w:sz="6" w:space="0"/>
              <w:right w:val="single" w:color="auto" w:sz="6" w:space="0"/>
            </w:tcBorders>
          </w:tcPr>
          <w:p>
            <w:pPr>
              <w:pStyle w:val="10"/>
              <w:spacing w:line="400" w:lineRule="atLeast"/>
              <w:jc w:val="center"/>
              <w:rPr>
                <w:rFonts w:hAnsi="宋体"/>
                <w:sz w:val="24"/>
                <w:szCs w:val="22"/>
              </w:rPr>
            </w:pPr>
          </w:p>
        </w:tc>
        <w:tc>
          <w:tcPr>
            <w:tcW w:w="1985" w:type="dxa"/>
            <w:tcBorders>
              <w:top w:val="single" w:color="auto" w:sz="6" w:space="0"/>
              <w:left w:val="single" w:color="auto" w:sz="4" w:space="0"/>
              <w:bottom w:val="single" w:color="auto" w:sz="6" w:space="0"/>
              <w:right w:val="single" w:color="auto" w:sz="6" w:space="0"/>
            </w:tcBorders>
          </w:tcPr>
          <w:p>
            <w:pPr>
              <w:pStyle w:val="10"/>
              <w:spacing w:line="400" w:lineRule="atLeast"/>
              <w:jc w:val="center"/>
              <w:rPr>
                <w:rFonts w:hAnsi="宋体"/>
                <w:sz w:val="24"/>
                <w:szCs w:val="22"/>
              </w:rPr>
            </w:pPr>
          </w:p>
        </w:tc>
      </w:tr>
      <w:tr>
        <w:tblPrEx>
          <w:tblLayout w:type="fixed"/>
          <w:tblCellMar>
            <w:top w:w="0" w:type="dxa"/>
            <w:left w:w="108" w:type="dxa"/>
            <w:bottom w:w="0" w:type="dxa"/>
            <w:right w:w="108" w:type="dxa"/>
          </w:tblCellMar>
        </w:tblPrEx>
        <w:trPr>
          <w:trHeight w:val="608" w:hRule="atLeast"/>
        </w:trPr>
        <w:tc>
          <w:tcPr>
            <w:tcW w:w="949" w:type="dxa"/>
            <w:tcBorders>
              <w:top w:val="single" w:color="auto" w:sz="6" w:space="0"/>
              <w:left w:val="single" w:color="auto" w:sz="6" w:space="0"/>
              <w:bottom w:val="single" w:color="auto" w:sz="6" w:space="0"/>
              <w:right w:val="single" w:color="auto" w:sz="6" w:space="0"/>
            </w:tcBorders>
          </w:tcPr>
          <w:p>
            <w:pPr>
              <w:pStyle w:val="10"/>
              <w:spacing w:line="400" w:lineRule="atLeast"/>
              <w:rPr>
                <w:rFonts w:hAnsi="宋体"/>
                <w:sz w:val="24"/>
                <w:szCs w:val="22"/>
              </w:rPr>
            </w:pPr>
          </w:p>
        </w:tc>
        <w:tc>
          <w:tcPr>
            <w:tcW w:w="1427" w:type="dxa"/>
            <w:tcBorders>
              <w:top w:val="single" w:color="auto" w:sz="6" w:space="0"/>
              <w:left w:val="single" w:color="auto" w:sz="6" w:space="0"/>
              <w:bottom w:val="single" w:color="auto" w:sz="6" w:space="0"/>
              <w:right w:val="single" w:color="auto" w:sz="4" w:space="0"/>
            </w:tcBorders>
            <w:vAlign w:val="center"/>
          </w:tcPr>
          <w:p>
            <w:pPr>
              <w:pStyle w:val="10"/>
              <w:spacing w:line="400" w:lineRule="atLeast"/>
              <w:jc w:val="center"/>
              <w:rPr>
                <w:rFonts w:hAnsi="宋体"/>
                <w:sz w:val="24"/>
                <w:szCs w:val="22"/>
              </w:rPr>
            </w:pPr>
          </w:p>
        </w:tc>
        <w:tc>
          <w:tcPr>
            <w:tcW w:w="2835" w:type="dxa"/>
            <w:tcBorders>
              <w:top w:val="single" w:color="auto" w:sz="6" w:space="0"/>
              <w:left w:val="single" w:color="auto" w:sz="4" w:space="0"/>
              <w:bottom w:val="single" w:color="auto" w:sz="6" w:space="0"/>
              <w:right w:val="single" w:color="auto" w:sz="6" w:space="0"/>
            </w:tcBorders>
            <w:vAlign w:val="center"/>
          </w:tcPr>
          <w:p>
            <w:pPr>
              <w:pStyle w:val="10"/>
              <w:spacing w:line="400" w:lineRule="atLeast"/>
              <w:jc w:val="center"/>
              <w:rPr>
                <w:rFonts w:hAnsi="宋体"/>
                <w:sz w:val="24"/>
                <w:szCs w:val="22"/>
              </w:rPr>
            </w:pPr>
          </w:p>
        </w:tc>
        <w:tc>
          <w:tcPr>
            <w:tcW w:w="2410" w:type="dxa"/>
            <w:tcBorders>
              <w:top w:val="single" w:color="auto" w:sz="6" w:space="0"/>
              <w:left w:val="single" w:color="auto" w:sz="6" w:space="0"/>
              <w:bottom w:val="single" w:color="auto" w:sz="6" w:space="0"/>
              <w:right w:val="single" w:color="auto" w:sz="6" w:space="0"/>
            </w:tcBorders>
          </w:tcPr>
          <w:p>
            <w:pPr>
              <w:pStyle w:val="10"/>
              <w:spacing w:line="400" w:lineRule="atLeast"/>
              <w:rPr>
                <w:rFonts w:hAnsi="宋体"/>
                <w:sz w:val="24"/>
                <w:szCs w:val="22"/>
              </w:rPr>
            </w:pPr>
          </w:p>
        </w:tc>
        <w:tc>
          <w:tcPr>
            <w:tcW w:w="1985" w:type="dxa"/>
            <w:tcBorders>
              <w:top w:val="single" w:color="auto" w:sz="6" w:space="0"/>
              <w:left w:val="single" w:color="auto" w:sz="4" w:space="0"/>
              <w:bottom w:val="single" w:color="auto" w:sz="6" w:space="0"/>
              <w:right w:val="single" w:color="auto" w:sz="6" w:space="0"/>
            </w:tcBorders>
          </w:tcPr>
          <w:p>
            <w:pPr>
              <w:pStyle w:val="10"/>
              <w:spacing w:line="400" w:lineRule="atLeast"/>
              <w:rPr>
                <w:rFonts w:hAnsi="宋体"/>
                <w:sz w:val="24"/>
                <w:szCs w:val="22"/>
              </w:rPr>
            </w:pPr>
          </w:p>
        </w:tc>
      </w:tr>
      <w:tr>
        <w:tblPrEx>
          <w:tblLayout w:type="fixed"/>
          <w:tblCellMar>
            <w:top w:w="0" w:type="dxa"/>
            <w:left w:w="108" w:type="dxa"/>
            <w:bottom w:w="0" w:type="dxa"/>
            <w:right w:w="108" w:type="dxa"/>
          </w:tblCellMar>
        </w:tblPrEx>
        <w:trPr>
          <w:trHeight w:val="608" w:hRule="atLeast"/>
        </w:trPr>
        <w:tc>
          <w:tcPr>
            <w:tcW w:w="949" w:type="dxa"/>
            <w:tcBorders>
              <w:top w:val="single" w:color="auto" w:sz="6" w:space="0"/>
              <w:left w:val="single" w:color="auto" w:sz="6" w:space="0"/>
              <w:bottom w:val="single" w:color="auto" w:sz="6" w:space="0"/>
              <w:right w:val="single" w:color="auto" w:sz="6" w:space="0"/>
            </w:tcBorders>
          </w:tcPr>
          <w:p>
            <w:pPr>
              <w:pStyle w:val="10"/>
              <w:spacing w:line="400" w:lineRule="atLeast"/>
              <w:rPr>
                <w:rFonts w:hAnsi="宋体"/>
                <w:sz w:val="24"/>
                <w:szCs w:val="22"/>
              </w:rPr>
            </w:pPr>
          </w:p>
        </w:tc>
        <w:tc>
          <w:tcPr>
            <w:tcW w:w="1427" w:type="dxa"/>
            <w:tcBorders>
              <w:top w:val="single" w:color="auto" w:sz="6" w:space="0"/>
              <w:left w:val="single" w:color="auto" w:sz="6" w:space="0"/>
              <w:bottom w:val="single" w:color="auto" w:sz="6" w:space="0"/>
              <w:right w:val="single" w:color="auto" w:sz="4" w:space="0"/>
            </w:tcBorders>
            <w:vAlign w:val="center"/>
          </w:tcPr>
          <w:p>
            <w:pPr>
              <w:pStyle w:val="10"/>
              <w:spacing w:line="400" w:lineRule="atLeast"/>
              <w:jc w:val="center"/>
              <w:rPr>
                <w:rFonts w:hAnsi="宋体"/>
                <w:sz w:val="24"/>
                <w:szCs w:val="22"/>
              </w:rPr>
            </w:pPr>
          </w:p>
        </w:tc>
        <w:tc>
          <w:tcPr>
            <w:tcW w:w="2835" w:type="dxa"/>
            <w:tcBorders>
              <w:top w:val="single" w:color="auto" w:sz="6" w:space="0"/>
              <w:left w:val="single" w:color="auto" w:sz="4" w:space="0"/>
              <w:bottom w:val="single" w:color="auto" w:sz="6" w:space="0"/>
              <w:right w:val="single" w:color="auto" w:sz="6" w:space="0"/>
            </w:tcBorders>
            <w:vAlign w:val="center"/>
          </w:tcPr>
          <w:p>
            <w:pPr>
              <w:pStyle w:val="10"/>
              <w:spacing w:line="400" w:lineRule="atLeast"/>
              <w:jc w:val="center"/>
              <w:rPr>
                <w:rFonts w:hAnsi="宋体"/>
                <w:sz w:val="24"/>
                <w:szCs w:val="22"/>
              </w:rPr>
            </w:pPr>
          </w:p>
        </w:tc>
        <w:tc>
          <w:tcPr>
            <w:tcW w:w="2410" w:type="dxa"/>
            <w:tcBorders>
              <w:top w:val="single" w:color="auto" w:sz="6" w:space="0"/>
              <w:left w:val="single" w:color="auto" w:sz="6" w:space="0"/>
              <w:bottom w:val="single" w:color="auto" w:sz="6" w:space="0"/>
              <w:right w:val="single" w:color="auto" w:sz="6" w:space="0"/>
            </w:tcBorders>
          </w:tcPr>
          <w:p>
            <w:pPr>
              <w:pStyle w:val="10"/>
              <w:spacing w:line="400" w:lineRule="atLeast"/>
              <w:rPr>
                <w:rFonts w:hAnsi="宋体"/>
                <w:sz w:val="24"/>
                <w:szCs w:val="22"/>
              </w:rPr>
            </w:pPr>
          </w:p>
        </w:tc>
        <w:tc>
          <w:tcPr>
            <w:tcW w:w="1985" w:type="dxa"/>
            <w:tcBorders>
              <w:top w:val="single" w:color="auto" w:sz="6" w:space="0"/>
              <w:left w:val="single" w:color="auto" w:sz="4" w:space="0"/>
              <w:bottom w:val="single" w:color="auto" w:sz="6" w:space="0"/>
              <w:right w:val="single" w:color="auto" w:sz="6" w:space="0"/>
            </w:tcBorders>
          </w:tcPr>
          <w:p>
            <w:pPr>
              <w:pStyle w:val="10"/>
              <w:spacing w:line="400" w:lineRule="atLeast"/>
              <w:rPr>
                <w:rFonts w:hAnsi="宋体"/>
                <w:sz w:val="24"/>
                <w:szCs w:val="22"/>
              </w:rPr>
            </w:pPr>
          </w:p>
        </w:tc>
      </w:tr>
      <w:tr>
        <w:tblPrEx>
          <w:tblLayout w:type="fixed"/>
          <w:tblCellMar>
            <w:top w:w="0" w:type="dxa"/>
            <w:left w:w="108" w:type="dxa"/>
            <w:bottom w:w="0" w:type="dxa"/>
            <w:right w:w="108" w:type="dxa"/>
          </w:tblCellMar>
        </w:tblPrEx>
        <w:trPr>
          <w:trHeight w:val="608" w:hRule="atLeast"/>
        </w:trPr>
        <w:tc>
          <w:tcPr>
            <w:tcW w:w="949" w:type="dxa"/>
            <w:tcBorders>
              <w:top w:val="single" w:color="auto" w:sz="6" w:space="0"/>
              <w:left w:val="single" w:color="auto" w:sz="6" w:space="0"/>
              <w:bottom w:val="single" w:color="auto" w:sz="6" w:space="0"/>
              <w:right w:val="single" w:color="auto" w:sz="6" w:space="0"/>
            </w:tcBorders>
          </w:tcPr>
          <w:p>
            <w:pPr>
              <w:pStyle w:val="10"/>
              <w:spacing w:line="400" w:lineRule="atLeast"/>
              <w:rPr>
                <w:rFonts w:hAnsi="宋体"/>
                <w:sz w:val="24"/>
                <w:szCs w:val="22"/>
              </w:rPr>
            </w:pPr>
          </w:p>
        </w:tc>
        <w:tc>
          <w:tcPr>
            <w:tcW w:w="1427" w:type="dxa"/>
            <w:tcBorders>
              <w:top w:val="single" w:color="auto" w:sz="6" w:space="0"/>
              <w:left w:val="single" w:color="auto" w:sz="6" w:space="0"/>
              <w:bottom w:val="single" w:color="auto" w:sz="6" w:space="0"/>
              <w:right w:val="single" w:color="auto" w:sz="4" w:space="0"/>
            </w:tcBorders>
            <w:vAlign w:val="center"/>
          </w:tcPr>
          <w:p>
            <w:pPr>
              <w:pStyle w:val="10"/>
              <w:spacing w:line="400" w:lineRule="atLeast"/>
              <w:jc w:val="center"/>
              <w:rPr>
                <w:rFonts w:hAnsi="宋体"/>
                <w:sz w:val="24"/>
                <w:szCs w:val="22"/>
              </w:rPr>
            </w:pPr>
          </w:p>
        </w:tc>
        <w:tc>
          <w:tcPr>
            <w:tcW w:w="2835" w:type="dxa"/>
            <w:tcBorders>
              <w:top w:val="single" w:color="auto" w:sz="6" w:space="0"/>
              <w:left w:val="single" w:color="auto" w:sz="4" w:space="0"/>
              <w:bottom w:val="single" w:color="auto" w:sz="6" w:space="0"/>
              <w:right w:val="single" w:color="auto" w:sz="6" w:space="0"/>
            </w:tcBorders>
            <w:vAlign w:val="center"/>
          </w:tcPr>
          <w:p>
            <w:pPr>
              <w:pStyle w:val="10"/>
              <w:spacing w:line="400" w:lineRule="atLeast"/>
              <w:jc w:val="center"/>
              <w:rPr>
                <w:rFonts w:hAnsi="宋体"/>
                <w:sz w:val="24"/>
                <w:szCs w:val="22"/>
              </w:rPr>
            </w:pPr>
          </w:p>
        </w:tc>
        <w:tc>
          <w:tcPr>
            <w:tcW w:w="2410" w:type="dxa"/>
            <w:tcBorders>
              <w:top w:val="single" w:color="auto" w:sz="6" w:space="0"/>
              <w:left w:val="single" w:color="auto" w:sz="6" w:space="0"/>
              <w:bottom w:val="single" w:color="auto" w:sz="6" w:space="0"/>
              <w:right w:val="single" w:color="auto" w:sz="6" w:space="0"/>
            </w:tcBorders>
          </w:tcPr>
          <w:p>
            <w:pPr>
              <w:pStyle w:val="10"/>
              <w:spacing w:line="400" w:lineRule="atLeast"/>
              <w:rPr>
                <w:rFonts w:hAnsi="宋体"/>
                <w:sz w:val="24"/>
                <w:szCs w:val="22"/>
              </w:rPr>
            </w:pPr>
          </w:p>
        </w:tc>
        <w:tc>
          <w:tcPr>
            <w:tcW w:w="1985" w:type="dxa"/>
            <w:tcBorders>
              <w:top w:val="single" w:color="auto" w:sz="6" w:space="0"/>
              <w:left w:val="single" w:color="auto" w:sz="4" w:space="0"/>
              <w:bottom w:val="single" w:color="auto" w:sz="6" w:space="0"/>
              <w:right w:val="single" w:color="auto" w:sz="6" w:space="0"/>
            </w:tcBorders>
          </w:tcPr>
          <w:p>
            <w:pPr>
              <w:pStyle w:val="10"/>
              <w:spacing w:line="400" w:lineRule="atLeast"/>
              <w:rPr>
                <w:rFonts w:hAnsi="宋体"/>
                <w:sz w:val="24"/>
                <w:szCs w:val="22"/>
              </w:rPr>
            </w:pPr>
          </w:p>
        </w:tc>
      </w:tr>
      <w:tr>
        <w:tblPrEx>
          <w:tblLayout w:type="fixed"/>
          <w:tblCellMar>
            <w:top w:w="0" w:type="dxa"/>
            <w:left w:w="108" w:type="dxa"/>
            <w:bottom w:w="0" w:type="dxa"/>
            <w:right w:w="108" w:type="dxa"/>
          </w:tblCellMar>
        </w:tblPrEx>
        <w:trPr>
          <w:trHeight w:val="608" w:hRule="atLeast"/>
        </w:trPr>
        <w:tc>
          <w:tcPr>
            <w:tcW w:w="949" w:type="dxa"/>
            <w:tcBorders>
              <w:top w:val="single" w:color="auto" w:sz="6" w:space="0"/>
              <w:left w:val="single" w:color="auto" w:sz="6" w:space="0"/>
              <w:bottom w:val="single" w:color="auto" w:sz="6" w:space="0"/>
              <w:right w:val="single" w:color="auto" w:sz="6" w:space="0"/>
            </w:tcBorders>
          </w:tcPr>
          <w:p>
            <w:pPr>
              <w:pStyle w:val="10"/>
              <w:spacing w:line="400" w:lineRule="atLeast"/>
              <w:rPr>
                <w:rFonts w:hAnsi="宋体"/>
                <w:sz w:val="24"/>
                <w:szCs w:val="22"/>
              </w:rPr>
            </w:pPr>
          </w:p>
        </w:tc>
        <w:tc>
          <w:tcPr>
            <w:tcW w:w="1427" w:type="dxa"/>
            <w:tcBorders>
              <w:top w:val="single" w:color="auto" w:sz="6" w:space="0"/>
              <w:left w:val="single" w:color="auto" w:sz="6" w:space="0"/>
              <w:bottom w:val="single" w:color="auto" w:sz="6" w:space="0"/>
              <w:right w:val="single" w:color="auto" w:sz="4" w:space="0"/>
            </w:tcBorders>
            <w:vAlign w:val="center"/>
          </w:tcPr>
          <w:p>
            <w:pPr>
              <w:pStyle w:val="10"/>
              <w:spacing w:line="400" w:lineRule="atLeast"/>
              <w:jc w:val="center"/>
              <w:rPr>
                <w:rFonts w:hAnsi="宋体"/>
                <w:sz w:val="24"/>
                <w:szCs w:val="22"/>
              </w:rPr>
            </w:pPr>
          </w:p>
        </w:tc>
        <w:tc>
          <w:tcPr>
            <w:tcW w:w="2835" w:type="dxa"/>
            <w:tcBorders>
              <w:top w:val="single" w:color="auto" w:sz="6" w:space="0"/>
              <w:left w:val="single" w:color="auto" w:sz="4" w:space="0"/>
              <w:bottom w:val="single" w:color="auto" w:sz="6" w:space="0"/>
              <w:right w:val="single" w:color="auto" w:sz="6" w:space="0"/>
            </w:tcBorders>
            <w:vAlign w:val="center"/>
          </w:tcPr>
          <w:p>
            <w:pPr>
              <w:pStyle w:val="10"/>
              <w:spacing w:line="400" w:lineRule="atLeast"/>
              <w:jc w:val="center"/>
              <w:rPr>
                <w:rFonts w:hAnsi="宋体"/>
                <w:sz w:val="24"/>
                <w:szCs w:val="22"/>
              </w:rPr>
            </w:pPr>
          </w:p>
        </w:tc>
        <w:tc>
          <w:tcPr>
            <w:tcW w:w="2410" w:type="dxa"/>
            <w:tcBorders>
              <w:top w:val="single" w:color="auto" w:sz="6" w:space="0"/>
              <w:left w:val="single" w:color="auto" w:sz="6" w:space="0"/>
              <w:bottom w:val="single" w:color="auto" w:sz="6" w:space="0"/>
              <w:right w:val="single" w:color="auto" w:sz="6" w:space="0"/>
            </w:tcBorders>
          </w:tcPr>
          <w:p>
            <w:pPr>
              <w:pStyle w:val="10"/>
              <w:spacing w:line="400" w:lineRule="atLeast"/>
              <w:rPr>
                <w:rFonts w:hAnsi="宋体"/>
                <w:sz w:val="24"/>
                <w:szCs w:val="22"/>
              </w:rPr>
            </w:pPr>
          </w:p>
        </w:tc>
        <w:tc>
          <w:tcPr>
            <w:tcW w:w="1985" w:type="dxa"/>
            <w:tcBorders>
              <w:top w:val="single" w:color="auto" w:sz="6" w:space="0"/>
              <w:left w:val="single" w:color="auto" w:sz="4" w:space="0"/>
              <w:bottom w:val="single" w:color="auto" w:sz="6" w:space="0"/>
              <w:right w:val="single" w:color="auto" w:sz="6" w:space="0"/>
            </w:tcBorders>
          </w:tcPr>
          <w:p>
            <w:pPr>
              <w:pStyle w:val="10"/>
              <w:spacing w:line="400" w:lineRule="atLeast"/>
              <w:rPr>
                <w:rFonts w:hAnsi="宋体"/>
                <w:sz w:val="24"/>
                <w:szCs w:val="22"/>
              </w:rPr>
            </w:pPr>
          </w:p>
        </w:tc>
      </w:tr>
      <w:tr>
        <w:tblPrEx>
          <w:tblLayout w:type="fixed"/>
          <w:tblCellMar>
            <w:top w:w="0" w:type="dxa"/>
            <w:left w:w="108" w:type="dxa"/>
            <w:bottom w:w="0" w:type="dxa"/>
            <w:right w:w="108" w:type="dxa"/>
          </w:tblCellMar>
        </w:tblPrEx>
        <w:trPr>
          <w:trHeight w:val="608" w:hRule="atLeast"/>
        </w:trPr>
        <w:tc>
          <w:tcPr>
            <w:tcW w:w="949" w:type="dxa"/>
            <w:tcBorders>
              <w:top w:val="single" w:color="auto" w:sz="6" w:space="0"/>
              <w:left w:val="single" w:color="auto" w:sz="6" w:space="0"/>
              <w:bottom w:val="single" w:color="auto" w:sz="6" w:space="0"/>
              <w:right w:val="single" w:color="auto" w:sz="6" w:space="0"/>
            </w:tcBorders>
          </w:tcPr>
          <w:p>
            <w:pPr>
              <w:pStyle w:val="10"/>
              <w:spacing w:line="400" w:lineRule="atLeast"/>
              <w:rPr>
                <w:rFonts w:hAnsi="宋体"/>
                <w:sz w:val="24"/>
                <w:szCs w:val="22"/>
              </w:rPr>
            </w:pPr>
          </w:p>
        </w:tc>
        <w:tc>
          <w:tcPr>
            <w:tcW w:w="1427" w:type="dxa"/>
            <w:tcBorders>
              <w:top w:val="single" w:color="auto" w:sz="6" w:space="0"/>
              <w:left w:val="single" w:color="auto" w:sz="6" w:space="0"/>
              <w:bottom w:val="single" w:color="auto" w:sz="6" w:space="0"/>
              <w:right w:val="single" w:color="auto" w:sz="4" w:space="0"/>
            </w:tcBorders>
            <w:vAlign w:val="center"/>
          </w:tcPr>
          <w:p>
            <w:pPr>
              <w:pStyle w:val="10"/>
              <w:spacing w:line="400" w:lineRule="atLeast"/>
              <w:jc w:val="center"/>
              <w:rPr>
                <w:rFonts w:hAnsi="宋体"/>
                <w:sz w:val="24"/>
                <w:szCs w:val="22"/>
              </w:rPr>
            </w:pPr>
          </w:p>
        </w:tc>
        <w:tc>
          <w:tcPr>
            <w:tcW w:w="2835" w:type="dxa"/>
            <w:tcBorders>
              <w:top w:val="single" w:color="auto" w:sz="6" w:space="0"/>
              <w:left w:val="single" w:color="auto" w:sz="4" w:space="0"/>
              <w:bottom w:val="single" w:color="auto" w:sz="6" w:space="0"/>
              <w:right w:val="single" w:color="auto" w:sz="6" w:space="0"/>
            </w:tcBorders>
            <w:vAlign w:val="center"/>
          </w:tcPr>
          <w:p>
            <w:pPr>
              <w:pStyle w:val="10"/>
              <w:spacing w:line="400" w:lineRule="atLeast"/>
              <w:jc w:val="center"/>
              <w:rPr>
                <w:rFonts w:hAnsi="宋体"/>
                <w:sz w:val="24"/>
                <w:szCs w:val="22"/>
              </w:rPr>
            </w:pPr>
          </w:p>
        </w:tc>
        <w:tc>
          <w:tcPr>
            <w:tcW w:w="2410" w:type="dxa"/>
            <w:tcBorders>
              <w:top w:val="single" w:color="auto" w:sz="6" w:space="0"/>
              <w:left w:val="single" w:color="auto" w:sz="6" w:space="0"/>
              <w:bottom w:val="single" w:color="auto" w:sz="6" w:space="0"/>
              <w:right w:val="single" w:color="auto" w:sz="6" w:space="0"/>
            </w:tcBorders>
          </w:tcPr>
          <w:p>
            <w:pPr>
              <w:pStyle w:val="10"/>
              <w:spacing w:line="400" w:lineRule="atLeast"/>
              <w:rPr>
                <w:rFonts w:hAnsi="宋体"/>
                <w:sz w:val="24"/>
                <w:szCs w:val="22"/>
              </w:rPr>
            </w:pPr>
          </w:p>
        </w:tc>
        <w:tc>
          <w:tcPr>
            <w:tcW w:w="1985" w:type="dxa"/>
            <w:tcBorders>
              <w:top w:val="single" w:color="auto" w:sz="6" w:space="0"/>
              <w:left w:val="single" w:color="auto" w:sz="4" w:space="0"/>
              <w:bottom w:val="single" w:color="auto" w:sz="6" w:space="0"/>
              <w:right w:val="single" w:color="auto" w:sz="6" w:space="0"/>
            </w:tcBorders>
          </w:tcPr>
          <w:p>
            <w:pPr>
              <w:pStyle w:val="10"/>
              <w:spacing w:line="400" w:lineRule="atLeast"/>
              <w:rPr>
                <w:rFonts w:hAnsi="宋体"/>
                <w:sz w:val="24"/>
                <w:szCs w:val="22"/>
              </w:rPr>
            </w:pPr>
          </w:p>
        </w:tc>
      </w:tr>
      <w:tr>
        <w:tblPrEx>
          <w:tblLayout w:type="fixed"/>
          <w:tblCellMar>
            <w:top w:w="0" w:type="dxa"/>
            <w:left w:w="108" w:type="dxa"/>
            <w:bottom w:w="0" w:type="dxa"/>
            <w:right w:w="108" w:type="dxa"/>
          </w:tblCellMar>
        </w:tblPrEx>
        <w:trPr>
          <w:trHeight w:val="608" w:hRule="atLeast"/>
        </w:trPr>
        <w:tc>
          <w:tcPr>
            <w:tcW w:w="949" w:type="dxa"/>
            <w:tcBorders>
              <w:top w:val="single" w:color="auto" w:sz="6" w:space="0"/>
              <w:left w:val="single" w:color="auto" w:sz="6" w:space="0"/>
              <w:bottom w:val="single" w:color="auto" w:sz="6" w:space="0"/>
              <w:right w:val="single" w:color="auto" w:sz="6" w:space="0"/>
            </w:tcBorders>
          </w:tcPr>
          <w:p>
            <w:pPr>
              <w:pStyle w:val="10"/>
              <w:spacing w:line="400" w:lineRule="atLeast"/>
              <w:rPr>
                <w:rFonts w:hAnsi="宋体"/>
                <w:sz w:val="24"/>
                <w:szCs w:val="22"/>
              </w:rPr>
            </w:pPr>
          </w:p>
        </w:tc>
        <w:tc>
          <w:tcPr>
            <w:tcW w:w="1427" w:type="dxa"/>
            <w:tcBorders>
              <w:top w:val="single" w:color="auto" w:sz="6" w:space="0"/>
              <w:left w:val="single" w:color="auto" w:sz="6" w:space="0"/>
              <w:bottom w:val="single" w:color="auto" w:sz="6" w:space="0"/>
              <w:right w:val="single" w:color="auto" w:sz="4" w:space="0"/>
            </w:tcBorders>
            <w:vAlign w:val="center"/>
          </w:tcPr>
          <w:p>
            <w:pPr>
              <w:pStyle w:val="10"/>
              <w:spacing w:line="400" w:lineRule="atLeast"/>
              <w:jc w:val="center"/>
              <w:rPr>
                <w:rFonts w:hAnsi="宋体"/>
                <w:sz w:val="24"/>
                <w:szCs w:val="22"/>
              </w:rPr>
            </w:pPr>
          </w:p>
        </w:tc>
        <w:tc>
          <w:tcPr>
            <w:tcW w:w="2835" w:type="dxa"/>
            <w:tcBorders>
              <w:top w:val="single" w:color="auto" w:sz="6" w:space="0"/>
              <w:left w:val="single" w:color="auto" w:sz="4" w:space="0"/>
              <w:bottom w:val="single" w:color="auto" w:sz="6" w:space="0"/>
              <w:right w:val="single" w:color="auto" w:sz="6" w:space="0"/>
            </w:tcBorders>
            <w:vAlign w:val="center"/>
          </w:tcPr>
          <w:p>
            <w:pPr>
              <w:pStyle w:val="10"/>
              <w:spacing w:line="400" w:lineRule="atLeast"/>
              <w:jc w:val="center"/>
              <w:rPr>
                <w:rFonts w:hAnsi="宋体"/>
                <w:sz w:val="24"/>
                <w:szCs w:val="22"/>
              </w:rPr>
            </w:pPr>
          </w:p>
        </w:tc>
        <w:tc>
          <w:tcPr>
            <w:tcW w:w="2410" w:type="dxa"/>
            <w:tcBorders>
              <w:top w:val="single" w:color="auto" w:sz="6" w:space="0"/>
              <w:left w:val="single" w:color="auto" w:sz="6" w:space="0"/>
              <w:bottom w:val="single" w:color="auto" w:sz="6" w:space="0"/>
              <w:right w:val="single" w:color="auto" w:sz="6" w:space="0"/>
            </w:tcBorders>
          </w:tcPr>
          <w:p>
            <w:pPr>
              <w:pStyle w:val="10"/>
              <w:spacing w:line="400" w:lineRule="atLeast"/>
              <w:rPr>
                <w:rFonts w:hAnsi="宋体"/>
                <w:sz w:val="24"/>
                <w:szCs w:val="22"/>
              </w:rPr>
            </w:pPr>
          </w:p>
        </w:tc>
        <w:tc>
          <w:tcPr>
            <w:tcW w:w="1985" w:type="dxa"/>
            <w:tcBorders>
              <w:top w:val="single" w:color="auto" w:sz="6" w:space="0"/>
              <w:left w:val="single" w:color="auto" w:sz="4" w:space="0"/>
              <w:bottom w:val="single" w:color="auto" w:sz="6" w:space="0"/>
              <w:right w:val="single" w:color="auto" w:sz="6" w:space="0"/>
            </w:tcBorders>
          </w:tcPr>
          <w:p>
            <w:pPr>
              <w:pStyle w:val="10"/>
              <w:spacing w:line="400" w:lineRule="atLeast"/>
              <w:rPr>
                <w:rFonts w:hAnsi="宋体"/>
                <w:sz w:val="24"/>
                <w:szCs w:val="22"/>
              </w:rPr>
            </w:pPr>
          </w:p>
        </w:tc>
      </w:tr>
      <w:tr>
        <w:tblPrEx>
          <w:tblLayout w:type="fixed"/>
          <w:tblCellMar>
            <w:top w:w="0" w:type="dxa"/>
            <w:left w:w="108" w:type="dxa"/>
            <w:bottom w:w="0" w:type="dxa"/>
            <w:right w:w="108" w:type="dxa"/>
          </w:tblCellMar>
        </w:tblPrEx>
        <w:trPr>
          <w:trHeight w:val="608" w:hRule="atLeast"/>
        </w:trPr>
        <w:tc>
          <w:tcPr>
            <w:tcW w:w="949" w:type="dxa"/>
            <w:tcBorders>
              <w:top w:val="single" w:color="auto" w:sz="6" w:space="0"/>
              <w:left w:val="single" w:color="auto" w:sz="6" w:space="0"/>
              <w:bottom w:val="single" w:color="auto" w:sz="6" w:space="0"/>
              <w:right w:val="single" w:color="auto" w:sz="6" w:space="0"/>
            </w:tcBorders>
          </w:tcPr>
          <w:p>
            <w:pPr>
              <w:pStyle w:val="10"/>
              <w:spacing w:line="400" w:lineRule="atLeast"/>
              <w:rPr>
                <w:rFonts w:hAnsi="宋体"/>
                <w:sz w:val="24"/>
                <w:szCs w:val="22"/>
              </w:rPr>
            </w:pPr>
          </w:p>
        </w:tc>
        <w:tc>
          <w:tcPr>
            <w:tcW w:w="1427" w:type="dxa"/>
            <w:tcBorders>
              <w:top w:val="single" w:color="auto" w:sz="6" w:space="0"/>
              <w:left w:val="single" w:color="auto" w:sz="6" w:space="0"/>
              <w:bottom w:val="single" w:color="auto" w:sz="6" w:space="0"/>
              <w:right w:val="single" w:color="auto" w:sz="4" w:space="0"/>
            </w:tcBorders>
            <w:vAlign w:val="center"/>
          </w:tcPr>
          <w:p>
            <w:pPr>
              <w:pStyle w:val="10"/>
              <w:spacing w:line="400" w:lineRule="atLeast"/>
              <w:jc w:val="center"/>
              <w:rPr>
                <w:rFonts w:hAnsi="宋体"/>
                <w:sz w:val="24"/>
                <w:szCs w:val="22"/>
              </w:rPr>
            </w:pPr>
          </w:p>
        </w:tc>
        <w:tc>
          <w:tcPr>
            <w:tcW w:w="2835" w:type="dxa"/>
            <w:tcBorders>
              <w:top w:val="single" w:color="auto" w:sz="6" w:space="0"/>
              <w:left w:val="single" w:color="auto" w:sz="4" w:space="0"/>
              <w:bottom w:val="single" w:color="auto" w:sz="6" w:space="0"/>
              <w:right w:val="single" w:color="auto" w:sz="6" w:space="0"/>
            </w:tcBorders>
            <w:vAlign w:val="center"/>
          </w:tcPr>
          <w:p>
            <w:pPr>
              <w:pStyle w:val="10"/>
              <w:spacing w:line="400" w:lineRule="atLeast"/>
              <w:jc w:val="center"/>
              <w:rPr>
                <w:rFonts w:hAnsi="宋体"/>
                <w:sz w:val="24"/>
                <w:szCs w:val="22"/>
              </w:rPr>
            </w:pPr>
          </w:p>
        </w:tc>
        <w:tc>
          <w:tcPr>
            <w:tcW w:w="2410" w:type="dxa"/>
            <w:tcBorders>
              <w:top w:val="single" w:color="auto" w:sz="6" w:space="0"/>
              <w:left w:val="single" w:color="auto" w:sz="6" w:space="0"/>
              <w:bottom w:val="single" w:color="auto" w:sz="6" w:space="0"/>
              <w:right w:val="single" w:color="auto" w:sz="6" w:space="0"/>
            </w:tcBorders>
          </w:tcPr>
          <w:p>
            <w:pPr>
              <w:pStyle w:val="10"/>
              <w:spacing w:line="400" w:lineRule="atLeast"/>
              <w:rPr>
                <w:rFonts w:hAnsi="宋体"/>
                <w:sz w:val="24"/>
                <w:szCs w:val="22"/>
              </w:rPr>
            </w:pPr>
          </w:p>
        </w:tc>
        <w:tc>
          <w:tcPr>
            <w:tcW w:w="1985" w:type="dxa"/>
            <w:tcBorders>
              <w:top w:val="single" w:color="auto" w:sz="6" w:space="0"/>
              <w:left w:val="single" w:color="auto" w:sz="4" w:space="0"/>
              <w:bottom w:val="single" w:color="auto" w:sz="6" w:space="0"/>
              <w:right w:val="single" w:color="auto" w:sz="6" w:space="0"/>
            </w:tcBorders>
          </w:tcPr>
          <w:p>
            <w:pPr>
              <w:pStyle w:val="10"/>
              <w:spacing w:line="400" w:lineRule="atLeast"/>
              <w:rPr>
                <w:rFonts w:hAnsi="宋体"/>
                <w:sz w:val="24"/>
                <w:szCs w:val="22"/>
              </w:rPr>
            </w:pPr>
          </w:p>
        </w:tc>
      </w:tr>
      <w:tr>
        <w:tblPrEx>
          <w:tblLayout w:type="fixed"/>
          <w:tblCellMar>
            <w:top w:w="0" w:type="dxa"/>
            <w:left w:w="108" w:type="dxa"/>
            <w:bottom w:w="0" w:type="dxa"/>
            <w:right w:w="108" w:type="dxa"/>
          </w:tblCellMar>
        </w:tblPrEx>
        <w:trPr>
          <w:trHeight w:val="608" w:hRule="atLeast"/>
        </w:trPr>
        <w:tc>
          <w:tcPr>
            <w:tcW w:w="949" w:type="dxa"/>
            <w:tcBorders>
              <w:top w:val="single" w:color="auto" w:sz="6" w:space="0"/>
              <w:left w:val="single" w:color="auto" w:sz="6" w:space="0"/>
              <w:bottom w:val="single" w:color="auto" w:sz="6" w:space="0"/>
              <w:right w:val="single" w:color="auto" w:sz="6" w:space="0"/>
            </w:tcBorders>
          </w:tcPr>
          <w:p>
            <w:pPr>
              <w:pStyle w:val="10"/>
              <w:spacing w:line="400" w:lineRule="atLeast"/>
              <w:rPr>
                <w:rFonts w:hAnsi="宋体"/>
                <w:sz w:val="24"/>
                <w:szCs w:val="22"/>
              </w:rPr>
            </w:pPr>
          </w:p>
        </w:tc>
        <w:tc>
          <w:tcPr>
            <w:tcW w:w="1427" w:type="dxa"/>
            <w:tcBorders>
              <w:top w:val="single" w:color="auto" w:sz="6" w:space="0"/>
              <w:left w:val="single" w:color="auto" w:sz="6" w:space="0"/>
              <w:bottom w:val="single" w:color="auto" w:sz="6" w:space="0"/>
              <w:right w:val="single" w:color="auto" w:sz="4" w:space="0"/>
            </w:tcBorders>
            <w:vAlign w:val="center"/>
          </w:tcPr>
          <w:p>
            <w:pPr>
              <w:pStyle w:val="10"/>
              <w:spacing w:line="400" w:lineRule="atLeast"/>
              <w:jc w:val="center"/>
              <w:rPr>
                <w:rFonts w:hAnsi="宋体"/>
                <w:sz w:val="24"/>
                <w:szCs w:val="22"/>
              </w:rPr>
            </w:pPr>
          </w:p>
        </w:tc>
        <w:tc>
          <w:tcPr>
            <w:tcW w:w="2835" w:type="dxa"/>
            <w:tcBorders>
              <w:top w:val="single" w:color="auto" w:sz="6" w:space="0"/>
              <w:left w:val="single" w:color="auto" w:sz="4" w:space="0"/>
              <w:bottom w:val="single" w:color="auto" w:sz="6" w:space="0"/>
              <w:right w:val="single" w:color="auto" w:sz="6" w:space="0"/>
            </w:tcBorders>
            <w:vAlign w:val="center"/>
          </w:tcPr>
          <w:p>
            <w:pPr>
              <w:pStyle w:val="10"/>
              <w:spacing w:line="400" w:lineRule="atLeast"/>
              <w:jc w:val="center"/>
              <w:rPr>
                <w:rFonts w:hAnsi="宋体"/>
                <w:sz w:val="24"/>
                <w:szCs w:val="22"/>
              </w:rPr>
            </w:pPr>
          </w:p>
        </w:tc>
        <w:tc>
          <w:tcPr>
            <w:tcW w:w="2410" w:type="dxa"/>
            <w:tcBorders>
              <w:top w:val="single" w:color="auto" w:sz="6" w:space="0"/>
              <w:left w:val="single" w:color="auto" w:sz="6" w:space="0"/>
              <w:bottom w:val="single" w:color="auto" w:sz="6" w:space="0"/>
              <w:right w:val="single" w:color="auto" w:sz="6" w:space="0"/>
            </w:tcBorders>
          </w:tcPr>
          <w:p>
            <w:pPr>
              <w:pStyle w:val="10"/>
              <w:spacing w:line="400" w:lineRule="atLeast"/>
              <w:rPr>
                <w:rFonts w:hAnsi="宋体"/>
                <w:sz w:val="24"/>
                <w:szCs w:val="22"/>
              </w:rPr>
            </w:pPr>
          </w:p>
        </w:tc>
        <w:tc>
          <w:tcPr>
            <w:tcW w:w="1985" w:type="dxa"/>
            <w:tcBorders>
              <w:top w:val="single" w:color="auto" w:sz="6" w:space="0"/>
              <w:left w:val="single" w:color="auto" w:sz="4" w:space="0"/>
              <w:bottom w:val="single" w:color="auto" w:sz="6" w:space="0"/>
              <w:right w:val="single" w:color="auto" w:sz="6" w:space="0"/>
            </w:tcBorders>
          </w:tcPr>
          <w:p>
            <w:pPr>
              <w:pStyle w:val="10"/>
              <w:spacing w:line="400" w:lineRule="atLeast"/>
              <w:rPr>
                <w:rFonts w:hAnsi="宋体"/>
                <w:sz w:val="24"/>
                <w:szCs w:val="22"/>
              </w:rPr>
            </w:pPr>
          </w:p>
        </w:tc>
      </w:tr>
      <w:tr>
        <w:tblPrEx>
          <w:tblLayout w:type="fixed"/>
          <w:tblCellMar>
            <w:top w:w="0" w:type="dxa"/>
            <w:left w:w="108" w:type="dxa"/>
            <w:bottom w:w="0" w:type="dxa"/>
            <w:right w:w="108" w:type="dxa"/>
          </w:tblCellMar>
        </w:tblPrEx>
        <w:trPr>
          <w:trHeight w:val="608" w:hRule="atLeast"/>
        </w:trPr>
        <w:tc>
          <w:tcPr>
            <w:tcW w:w="949" w:type="dxa"/>
            <w:tcBorders>
              <w:top w:val="single" w:color="auto" w:sz="6" w:space="0"/>
              <w:left w:val="single" w:color="auto" w:sz="6" w:space="0"/>
              <w:bottom w:val="single" w:color="auto" w:sz="6" w:space="0"/>
              <w:right w:val="single" w:color="auto" w:sz="6" w:space="0"/>
            </w:tcBorders>
          </w:tcPr>
          <w:p>
            <w:pPr>
              <w:pStyle w:val="10"/>
              <w:spacing w:line="400" w:lineRule="atLeast"/>
              <w:rPr>
                <w:rFonts w:hAnsi="宋体"/>
                <w:sz w:val="24"/>
                <w:szCs w:val="22"/>
              </w:rPr>
            </w:pPr>
            <w:r>
              <w:rPr>
                <w:rFonts w:hint="eastAsia" w:hAnsi="宋体"/>
                <w:sz w:val="24"/>
                <w:szCs w:val="22"/>
              </w:rPr>
              <w:t>……</w:t>
            </w:r>
          </w:p>
        </w:tc>
        <w:tc>
          <w:tcPr>
            <w:tcW w:w="1427" w:type="dxa"/>
            <w:tcBorders>
              <w:top w:val="single" w:color="auto" w:sz="6" w:space="0"/>
              <w:left w:val="single" w:color="auto" w:sz="6" w:space="0"/>
              <w:bottom w:val="single" w:color="auto" w:sz="6" w:space="0"/>
              <w:right w:val="single" w:color="auto" w:sz="4" w:space="0"/>
            </w:tcBorders>
            <w:vAlign w:val="center"/>
          </w:tcPr>
          <w:p>
            <w:pPr>
              <w:pStyle w:val="10"/>
              <w:spacing w:line="400" w:lineRule="atLeast"/>
              <w:jc w:val="center"/>
              <w:rPr>
                <w:rFonts w:hAnsi="宋体"/>
                <w:sz w:val="24"/>
                <w:szCs w:val="22"/>
              </w:rPr>
            </w:pPr>
          </w:p>
        </w:tc>
        <w:tc>
          <w:tcPr>
            <w:tcW w:w="2835" w:type="dxa"/>
            <w:tcBorders>
              <w:top w:val="single" w:color="auto" w:sz="6" w:space="0"/>
              <w:left w:val="single" w:color="auto" w:sz="4" w:space="0"/>
              <w:bottom w:val="single" w:color="auto" w:sz="6" w:space="0"/>
              <w:right w:val="single" w:color="auto" w:sz="6" w:space="0"/>
            </w:tcBorders>
            <w:vAlign w:val="center"/>
          </w:tcPr>
          <w:p>
            <w:pPr>
              <w:pStyle w:val="10"/>
              <w:spacing w:line="400" w:lineRule="atLeast"/>
              <w:jc w:val="center"/>
              <w:rPr>
                <w:rFonts w:hAnsi="宋体"/>
                <w:sz w:val="24"/>
                <w:szCs w:val="22"/>
              </w:rPr>
            </w:pPr>
          </w:p>
        </w:tc>
        <w:tc>
          <w:tcPr>
            <w:tcW w:w="2410" w:type="dxa"/>
            <w:tcBorders>
              <w:top w:val="single" w:color="auto" w:sz="6" w:space="0"/>
              <w:left w:val="single" w:color="auto" w:sz="6" w:space="0"/>
              <w:bottom w:val="single" w:color="auto" w:sz="6" w:space="0"/>
              <w:right w:val="single" w:color="auto" w:sz="6" w:space="0"/>
            </w:tcBorders>
          </w:tcPr>
          <w:p>
            <w:pPr>
              <w:pStyle w:val="10"/>
              <w:spacing w:line="400" w:lineRule="atLeast"/>
              <w:rPr>
                <w:rFonts w:hAnsi="宋体"/>
                <w:sz w:val="24"/>
                <w:szCs w:val="22"/>
              </w:rPr>
            </w:pPr>
          </w:p>
        </w:tc>
        <w:tc>
          <w:tcPr>
            <w:tcW w:w="1985" w:type="dxa"/>
            <w:tcBorders>
              <w:top w:val="single" w:color="auto" w:sz="6" w:space="0"/>
              <w:left w:val="single" w:color="auto" w:sz="4" w:space="0"/>
              <w:bottom w:val="single" w:color="auto" w:sz="6" w:space="0"/>
              <w:right w:val="single" w:color="auto" w:sz="6" w:space="0"/>
            </w:tcBorders>
          </w:tcPr>
          <w:p>
            <w:pPr>
              <w:pStyle w:val="10"/>
              <w:spacing w:line="400" w:lineRule="atLeast"/>
              <w:rPr>
                <w:rFonts w:hAnsi="宋体"/>
                <w:sz w:val="24"/>
                <w:szCs w:val="22"/>
              </w:rPr>
            </w:pPr>
          </w:p>
        </w:tc>
      </w:tr>
    </w:tbl>
    <w:p>
      <w:pPr>
        <w:pStyle w:val="10"/>
        <w:spacing w:line="360" w:lineRule="auto"/>
        <w:rPr>
          <w:rFonts w:hAnsi="宋体"/>
          <w:sz w:val="24"/>
        </w:rPr>
      </w:pPr>
      <w:r>
        <w:rPr>
          <w:rFonts w:hint="eastAsia" w:hAnsi="宋体"/>
          <w:sz w:val="24"/>
        </w:rPr>
        <w:t>特别提醒：</w:t>
      </w:r>
    </w:p>
    <w:p>
      <w:pPr>
        <w:pStyle w:val="10"/>
        <w:spacing w:line="360" w:lineRule="auto"/>
        <w:ind w:firstLine="480" w:firstLineChars="200"/>
        <w:rPr>
          <w:rFonts w:hAnsi="宋体"/>
          <w:sz w:val="24"/>
        </w:rPr>
      </w:pPr>
      <w:r>
        <w:rPr>
          <w:rFonts w:hint="eastAsia" w:hAnsi="宋体"/>
          <w:sz w:val="24"/>
        </w:rPr>
        <w:t>1.投标人在填写其中的技术响应内容时，投标人必须对照本招标文件“产品技术要求”中各指标项逐条说明，写出各自投标产品的具体参数响应内容，</w:t>
      </w:r>
      <w:r>
        <w:rPr>
          <w:rFonts w:hint="eastAsia" w:hAnsi="宋体"/>
          <w:b/>
          <w:sz w:val="24"/>
          <w:u w:val="single"/>
        </w:rPr>
        <w:t>不得以“符合”或“满足”等词语作简单回答或者完全复制本项目采购需求中参数内容，否则评标委员会有权视其投标文件未响应招标文件要求；</w:t>
      </w:r>
    </w:p>
    <w:p>
      <w:pPr>
        <w:pStyle w:val="10"/>
        <w:spacing w:line="360" w:lineRule="auto"/>
        <w:ind w:firstLine="480" w:firstLineChars="200"/>
        <w:rPr>
          <w:rFonts w:hAnsi="宋体"/>
          <w:sz w:val="24"/>
        </w:rPr>
      </w:pPr>
      <w:r>
        <w:rPr>
          <w:rFonts w:hint="eastAsia" w:hAnsi="宋体"/>
          <w:sz w:val="24"/>
        </w:rPr>
        <w:t>2.如有负偏离，应按实写明负偏离情况。否则视为完全满足采购需求指标，并作为今后产品的验收依据。</w:t>
      </w:r>
    </w:p>
    <w:p>
      <w:pPr>
        <w:pStyle w:val="10"/>
        <w:spacing w:line="560" w:lineRule="exact"/>
        <w:ind w:firstLine="5520" w:firstLineChars="2300"/>
        <w:rPr>
          <w:rFonts w:hAnsi="宋体"/>
          <w:sz w:val="24"/>
          <w:lang w:val="zh-CN"/>
        </w:rPr>
      </w:pPr>
      <w:r>
        <w:rPr>
          <w:rFonts w:hAnsi="宋体"/>
          <w:sz w:val="24"/>
          <w:lang w:val="zh-CN"/>
        </w:rPr>
        <w:t>投标人（盖单位章）：</w:t>
      </w:r>
    </w:p>
    <w:p>
      <w:pPr>
        <w:pStyle w:val="10"/>
        <w:spacing w:line="560" w:lineRule="exact"/>
        <w:ind w:firstLine="3600" w:firstLineChars="1500"/>
        <w:rPr>
          <w:rFonts w:hAnsi="宋体"/>
          <w:sz w:val="24"/>
          <w:lang w:val="zh-CN"/>
        </w:rPr>
      </w:pPr>
      <w:r>
        <w:rPr>
          <w:rFonts w:hAnsi="宋体"/>
          <w:sz w:val="24"/>
          <w:lang w:val="zh-CN"/>
        </w:rPr>
        <w:t>法定代表人或</w:t>
      </w:r>
      <w:r>
        <w:rPr>
          <w:rFonts w:hint="eastAsia" w:hAnsi="宋体"/>
          <w:sz w:val="24"/>
          <w:lang w:val="zh-CN"/>
        </w:rPr>
        <w:t>全权代表</w:t>
      </w:r>
      <w:r>
        <w:rPr>
          <w:rFonts w:hAnsi="宋体"/>
          <w:sz w:val="24"/>
          <w:lang w:val="zh-CN"/>
        </w:rPr>
        <w:t>（盖章或签字）：</w:t>
      </w:r>
    </w:p>
    <w:p>
      <w:pPr>
        <w:pStyle w:val="10"/>
        <w:spacing w:line="560" w:lineRule="exact"/>
        <w:rPr>
          <w:rFonts w:hint="eastAsia" w:hAnsi="宋体"/>
          <w:sz w:val="24"/>
          <w:lang w:val="zh-CN"/>
        </w:rPr>
      </w:pPr>
      <w:r>
        <w:rPr>
          <w:rFonts w:hAnsi="宋体"/>
          <w:sz w:val="24"/>
          <w:lang w:val="zh-CN"/>
        </w:rPr>
        <w:t xml:space="preserve">                                   </w:t>
      </w:r>
      <w:r>
        <w:rPr>
          <w:rFonts w:hint="eastAsia" w:hAnsi="宋体"/>
          <w:sz w:val="24"/>
          <w:lang w:val="zh-CN"/>
        </w:rPr>
        <w:t xml:space="preserve">                        </w:t>
      </w:r>
      <w:r>
        <w:rPr>
          <w:rFonts w:hAnsi="宋体"/>
          <w:sz w:val="24"/>
          <w:lang w:val="zh-CN"/>
        </w:rPr>
        <w:t>日</w:t>
      </w:r>
      <w:r>
        <w:rPr>
          <w:rFonts w:hint="eastAsia" w:hAnsi="宋体"/>
          <w:sz w:val="24"/>
          <w:lang w:val="zh-CN"/>
        </w:rPr>
        <w:t xml:space="preserve"> </w:t>
      </w:r>
      <w:r>
        <w:rPr>
          <w:rFonts w:hAnsi="宋体"/>
          <w:sz w:val="24"/>
          <w:lang w:val="zh-CN"/>
        </w:rPr>
        <w:t>期：</w:t>
      </w:r>
    </w:p>
    <w:p>
      <w:pPr>
        <w:widowControl/>
        <w:jc w:val="left"/>
        <w:rPr>
          <w:rFonts w:ascii="宋体" w:hAnsi="宋体" w:cstheme="minorBidi"/>
          <w:sz w:val="24"/>
          <w:lang w:val="zh-CN"/>
        </w:rPr>
      </w:pPr>
      <w:r>
        <w:rPr>
          <w:rFonts w:hAnsi="宋体"/>
          <w:sz w:val="24"/>
          <w:lang w:val="zh-CN"/>
        </w:rPr>
        <w:br w:type="page"/>
      </w:r>
    </w:p>
    <w:p>
      <w:pPr>
        <w:pStyle w:val="4"/>
        <w:spacing w:before="0" w:after="0" w:line="360" w:lineRule="auto"/>
        <w:rPr>
          <w:kern w:val="0"/>
        </w:rPr>
      </w:pPr>
      <w:bookmarkStart w:id="53" w:name="_Toc19880437"/>
      <w:r>
        <w:rPr>
          <w:rFonts w:hint="eastAsia"/>
          <w:kern w:val="0"/>
        </w:rPr>
        <w:t>附件7：</w:t>
      </w:r>
      <w:bookmarkEnd w:id="53"/>
    </w:p>
    <w:p>
      <w:pPr>
        <w:pStyle w:val="10"/>
        <w:spacing w:line="360" w:lineRule="auto"/>
        <w:jc w:val="center"/>
        <w:rPr>
          <w:rFonts w:hAnsi="宋体"/>
          <w:b/>
          <w:bCs/>
          <w:sz w:val="24"/>
          <w:lang w:val="zh-CN"/>
        </w:rPr>
      </w:pPr>
      <w:r>
        <w:rPr>
          <w:rFonts w:hint="eastAsia" w:hAnsi="宋体"/>
          <w:b/>
          <w:sz w:val="36"/>
          <w:szCs w:val="36"/>
        </w:rPr>
        <w:t>类似项目业绩一览表</w:t>
      </w:r>
    </w:p>
    <w:tbl>
      <w:tblPr>
        <w:tblStyle w:val="18"/>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63" w:type="dxa"/>
            <w:vAlign w:val="center"/>
          </w:tcPr>
          <w:p>
            <w:pPr>
              <w:pStyle w:val="10"/>
              <w:jc w:val="center"/>
              <w:rPr>
                <w:rFonts w:hAnsi="宋体"/>
                <w:sz w:val="24"/>
              </w:rPr>
            </w:pPr>
            <w:r>
              <w:rPr>
                <w:rFonts w:hAnsi="宋体"/>
                <w:sz w:val="24"/>
              </w:rPr>
              <w:t>序号</w:t>
            </w:r>
          </w:p>
        </w:tc>
        <w:tc>
          <w:tcPr>
            <w:tcW w:w="1561" w:type="dxa"/>
            <w:vAlign w:val="center"/>
          </w:tcPr>
          <w:p>
            <w:pPr>
              <w:pStyle w:val="10"/>
              <w:jc w:val="center"/>
              <w:rPr>
                <w:rFonts w:hAnsi="宋体"/>
                <w:sz w:val="24"/>
              </w:rPr>
            </w:pPr>
            <w:r>
              <w:rPr>
                <w:rFonts w:hAnsi="宋体"/>
                <w:sz w:val="24"/>
              </w:rPr>
              <w:t>项目名称</w:t>
            </w:r>
          </w:p>
        </w:tc>
        <w:tc>
          <w:tcPr>
            <w:tcW w:w="1744" w:type="dxa"/>
            <w:vAlign w:val="center"/>
          </w:tcPr>
          <w:p>
            <w:pPr>
              <w:pStyle w:val="10"/>
              <w:jc w:val="center"/>
              <w:rPr>
                <w:rFonts w:hAnsi="宋体"/>
                <w:sz w:val="24"/>
              </w:rPr>
            </w:pPr>
            <w:r>
              <w:rPr>
                <w:rFonts w:hAnsi="宋体"/>
                <w:sz w:val="24"/>
              </w:rPr>
              <w:t>业主单位</w:t>
            </w:r>
          </w:p>
        </w:tc>
        <w:tc>
          <w:tcPr>
            <w:tcW w:w="1260" w:type="dxa"/>
            <w:vAlign w:val="center"/>
          </w:tcPr>
          <w:p>
            <w:pPr>
              <w:pStyle w:val="10"/>
              <w:jc w:val="center"/>
              <w:rPr>
                <w:rFonts w:hAnsi="宋体"/>
                <w:sz w:val="24"/>
              </w:rPr>
            </w:pPr>
            <w:r>
              <w:rPr>
                <w:rFonts w:hAnsi="宋体"/>
                <w:sz w:val="24"/>
              </w:rPr>
              <w:t>合同金额</w:t>
            </w:r>
          </w:p>
        </w:tc>
        <w:tc>
          <w:tcPr>
            <w:tcW w:w="1800" w:type="dxa"/>
            <w:vAlign w:val="center"/>
          </w:tcPr>
          <w:p>
            <w:pPr>
              <w:pStyle w:val="10"/>
              <w:jc w:val="center"/>
              <w:rPr>
                <w:rFonts w:hAnsi="宋体"/>
                <w:sz w:val="24"/>
              </w:rPr>
            </w:pPr>
            <w:r>
              <w:rPr>
                <w:rFonts w:hAnsi="宋体"/>
                <w:sz w:val="24"/>
              </w:rPr>
              <w:t>合同签订时间</w:t>
            </w:r>
          </w:p>
        </w:tc>
        <w:tc>
          <w:tcPr>
            <w:tcW w:w="2520" w:type="dxa"/>
            <w:vAlign w:val="center"/>
          </w:tcPr>
          <w:p>
            <w:pPr>
              <w:pStyle w:val="10"/>
              <w:jc w:val="center"/>
              <w:rPr>
                <w:rFonts w:hAnsi="宋体"/>
                <w:sz w:val="24"/>
              </w:rPr>
            </w:pPr>
            <w:r>
              <w:rPr>
                <w:rFonts w:hAnsi="宋体"/>
                <w:sz w:val="24"/>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63" w:type="dxa"/>
            <w:vAlign w:val="center"/>
          </w:tcPr>
          <w:p>
            <w:pPr>
              <w:pStyle w:val="10"/>
              <w:rPr>
                <w:rFonts w:hAnsi="宋体"/>
                <w:sz w:val="24"/>
              </w:rPr>
            </w:pPr>
          </w:p>
        </w:tc>
        <w:tc>
          <w:tcPr>
            <w:tcW w:w="1561" w:type="dxa"/>
            <w:vAlign w:val="center"/>
          </w:tcPr>
          <w:p>
            <w:pPr>
              <w:pStyle w:val="10"/>
              <w:rPr>
                <w:rFonts w:hAnsi="宋体"/>
                <w:sz w:val="24"/>
              </w:rPr>
            </w:pPr>
          </w:p>
        </w:tc>
        <w:tc>
          <w:tcPr>
            <w:tcW w:w="1744" w:type="dxa"/>
            <w:vAlign w:val="center"/>
          </w:tcPr>
          <w:p>
            <w:pPr>
              <w:pStyle w:val="10"/>
              <w:rPr>
                <w:rFonts w:hAnsi="宋体"/>
                <w:sz w:val="24"/>
              </w:rPr>
            </w:pPr>
          </w:p>
        </w:tc>
        <w:tc>
          <w:tcPr>
            <w:tcW w:w="1260" w:type="dxa"/>
            <w:vAlign w:val="center"/>
          </w:tcPr>
          <w:p>
            <w:pPr>
              <w:pStyle w:val="10"/>
              <w:rPr>
                <w:rFonts w:hAnsi="宋体"/>
                <w:sz w:val="24"/>
              </w:rPr>
            </w:pPr>
          </w:p>
        </w:tc>
        <w:tc>
          <w:tcPr>
            <w:tcW w:w="1800" w:type="dxa"/>
            <w:vAlign w:val="center"/>
          </w:tcPr>
          <w:p>
            <w:pPr>
              <w:pStyle w:val="10"/>
              <w:rPr>
                <w:rFonts w:hAnsi="宋体"/>
                <w:sz w:val="24"/>
              </w:rPr>
            </w:pPr>
          </w:p>
        </w:tc>
        <w:tc>
          <w:tcPr>
            <w:tcW w:w="2520" w:type="dxa"/>
            <w:vAlign w:val="center"/>
          </w:tcPr>
          <w:p>
            <w:pPr>
              <w:pStyle w:val="1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63" w:type="dxa"/>
            <w:vAlign w:val="center"/>
          </w:tcPr>
          <w:p>
            <w:pPr>
              <w:pStyle w:val="10"/>
              <w:rPr>
                <w:rFonts w:hAnsi="宋体"/>
                <w:sz w:val="24"/>
              </w:rPr>
            </w:pPr>
          </w:p>
        </w:tc>
        <w:tc>
          <w:tcPr>
            <w:tcW w:w="1561" w:type="dxa"/>
            <w:vAlign w:val="center"/>
          </w:tcPr>
          <w:p>
            <w:pPr>
              <w:pStyle w:val="10"/>
              <w:rPr>
                <w:rFonts w:hAnsi="宋体"/>
                <w:sz w:val="24"/>
              </w:rPr>
            </w:pPr>
          </w:p>
        </w:tc>
        <w:tc>
          <w:tcPr>
            <w:tcW w:w="1744" w:type="dxa"/>
            <w:vAlign w:val="center"/>
          </w:tcPr>
          <w:p>
            <w:pPr>
              <w:pStyle w:val="10"/>
              <w:rPr>
                <w:rFonts w:hAnsi="宋体"/>
                <w:sz w:val="24"/>
              </w:rPr>
            </w:pPr>
          </w:p>
        </w:tc>
        <w:tc>
          <w:tcPr>
            <w:tcW w:w="1260" w:type="dxa"/>
            <w:vAlign w:val="center"/>
          </w:tcPr>
          <w:p>
            <w:pPr>
              <w:pStyle w:val="10"/>
              <w:rPr>
                <w:rFonts w:hAnsi="宋体"/>
                <w:sz w:val="24"/>
              </w:rPr>
            </w:pPr>
          </w:p>
        </w:tc>
        <w:tc>
          <w:tcPr>
            <w:tcW w:w="1800" w:type="dxa"/>
            <w:vAlign w:val="center"/>
          </w:tcPr>
          <w:p>
            <w:pPr>
              <w:pStyle w:val="10"/>
              <w:rPr>
                <w:rFonts w:hAnsi="宋体"/>
                <w:sz w:val="24"/>
              </w:rPr>
            </w:pPr>
          </w:p>
        </w:tc>
        <w:tc>
          <w:tcPr>
            <w:tcW w:w="2520" w:type="dxa"/>
            <w:vAlign w:val="center"/>
          </w:tcPr>
          <w:p>
            <w:pPr>
              <w:pStyle w:val="1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63" w:type="dxa"/>
            <w:vAlign w:val="center"/>
          </w:tcPr>
          <w:p>
            <w:pPr>
              <w:pStyle w:val="10"/>
              <w:rPr>
                <w:rFonts w:hAnsi="宋体"/>
                <w:sz w:val="24"/>
              </w:rPr>
            </w:pPr>
          </w:p>
        </w:tc>
        <w:tc>
          <w:tcPr>
            <w:tcW w:w="1561" w:type="dxa"/>
            <w:vAlign w:val="center"/>
          </w:tcPr>
          <w:p>
            <w:pPr>
              <w:pStyle w:val="10"/>
              <w:rPr>
                <w:rFonts w:hAnsi="宋体"/>
                <w:sz w:val="24"/>
              </w:rPr>
            </w:pPr>
          </w:p>
        </w:tc>
        <w:tc>
          <w:tcPr>
            <w:tcW w:w="1744" w:type="dxa"/>
            <w:vAlign w:val="center"/>
          </w:tcPr>
          <w:p>
            <w:pPr>
              <w:pStyle w:val="10"/>
              <w:rPr>
                <w:rFonts w:hAnsi="宋体"/>
                <w:sz w:val="24"/>
              </w:rPr>
            </w:pPr>
          </w:p>
        </w:tc>
        <w:tc>
          <w:tcPr>
            <w:tcW w:w="1260" w:type="dxa"/>
            <w:vAlign w:val="center"/>
          </w:tcPr>
          <w:p>
            <w:pPr>
              <w:pStyle w:val="10"/>
              <w:rPr>
                <w:rFonts w:hAnsi="宋体"/>
                <w:sz w:val="24"/>
              </w:rPr>
            </w:pPr>
          </w:p>
        </w:tc>
        <w:tc>
          <w:tcPr>
            <w:tcW w:w="1800" w:type="dxa"/>
            <w:vAlign w:val="center"/>
          </w:tcPr>
          <w:p>
            <w:pPr>
              <w:pStyle w:val="10"/>
              <w:rPr>
                <w:rFonts w:hAnsi="宋体"/>
                <w:sz w:val="24"/>
              </w:rPr>
            </w:pPr>
          </w:p>
        </w:tc>
        <w:tc>
          <w:tcPr>
            <w:tcW w:w="2520" w:type="dxa"/>
            <w:vAlign w:val="center"/>
          </w:tcPr>
          <w:p>
            <w:pPr>
              <w:pStyle w:val="1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63" w:type="dxa"/>
            <w:vAlign w:val="center"/>
          </w:tcPr>
          <w:p>
            <w:pPr>
              <w:pStyle w:val="10"/>
              <w:rPr>
                <w:rFonts w:hAnsi="宋体"/>
                <w:sz w:val="24"/>
              </w:rPr>
            </w:pPr>
          </w:p>
        </w:tc>
        <w:tc>
          <w:tcPr>
            <w:tcW w:w="1561" w:type="dxa"/>
            <w:vAlign w:val="center"/>
          </w:tcPr>
          <w:p>
            <w:pPr>
              <w:pStyle w:val="10"/>
              <w:rPr>
                <w:rFonts w:hAnsi="宋体"/>
                <w:sz w:val="24"/>
              </w:rPr>
            </w:pPr>
          </w:p>
        </w:tc>
        <w:tc>
          <w:tcPr>
            <w:tcW w:w="1744" w:type="dxa"/>
            <w:vAlign w:val="center"/>
          </w:tcPr>
          <w:p>
            <w:pPr>
              <w:pStyle w:val="10"/>
              <w:rPr>
                <w:rFonts w:hAnsi="宋体"/>
                <w:sz w:val="24"/>
              </w:rPr>
            </w:pPr>
          </w:p>
        </w:tc>
        <w:tc>
          <w:tcPr>
            <w:tcW w:w="1260" w:type="dxa"/>
            <w:vAlign w:val="center"/>
          </w:tcPr>
          <w:p>
            <w:pPr>
              <w:pStyle w:val="10"/>
              <w:rPr>
                <w:rFonts w:hAnsi="宋体"/>
                <w:sz w:val="24"/>
              </w:rPr>
            </w:pPr>
          </w:p>
        </w:tc>
        <w:tc>
          <w:tcPr>
            <w:tcW w:w="1800" w:type="dxa"/>
            <w:vAlign w:val="center"/>
          </w:tcPr>
          <w:p>
            <w:pPr>
              <w:pStyle w:val="10"/>
              <w:rPr>
                <w:rFonts w:hAnsi="宋体"/>
                <w:sz w:val="24"/>
              </w:rPr>
            </w:pPr>
          </w:p>
        </w:tc>
        <w:tc>
          <w:tcPr>
            <w:tcW w:w="2520" w:type="dxa"/>
            <w:vAlign w:val="center"/>
          </w:tcPr>
          <w:p>
            <w:pPr>
              <w:pStyle w:val="1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63" w:type="dxa"/>
            <w:vAlign w:val="center"/>
          </w:tcPr>
          <w:p>
            <w:pPr>
              <w:pStyle w:val="10"/>
              <w:rPr>
                <w:rFonts w:hAnsi="宋体"/>
                <w:sz w:val="24"/>
              </w:rPr>
            </w:pPr>
          </w:p>
        </w:tc>
        <w:tc>
          <w:tcPr>
            <w:tcW w:w="1561" w:type="dxa"/>
            <w:vAlign w:val="center"/>
          </w:tcPr>
          <w:p>
            <w:pPr>
              <w:pStyle w:val="10"/>
              <w:rPr>
                <w:rFonts w:hAnsi="宋体"/>
                <w:sz w:val="24"/>
              </w:rPr>
            </w:pPr>
          </w:p>
        </w:tc>
        <w:tc>
          <w:tcPr>
            <w:tcW w:w="1744" w:type="dxa"/>
            <w:vAlign w:val="center"/>
          </w:tcPr>
          <w:p>
            <w:pPr>
              <w:pStyle w:val="10"/>
              <w:rPr>
                <w:rFonts w:hAnsi="宋体"/>
                <w:sz w:val="24"/>
              </w:rPr>
            </w:pPr>
          </w:p>
        </w:tc>
        <w:tc>
          <w:tcPr>
            <w:tcW w:w="1260" w:type="dxa"/>
            <w:vAlign w:val="center"/>
          </w:tcPr>
          <w:p>
            <w:pPr>
              <w:pStyle w:val="10"/>
              <w:rPr>
                <w:rFonts w:hAnsi="宋体"/>
                <w:sz w:val="24"/>
              </w:rPr>
            </w:pPr>
          </w:p>
        </w:tc>
        <w:tc>
          <w:tcPr>
            <w:tcW w:w="1800" w:type="dxa"/>
            <w:vAlign w:val="center"/>
          </w:tcPr>
          <w:p>
            <w:pPr>
              <w:pStyle w:val="10"/>
              <w:rPr>
                <w:rFonts w:hAnsi="宋体"/>
                <w:sz w:val="24"/>
              </w:rPr>
            </w:pPr>
          </w:p>
        </w:tc>
        <w:tc>
          <w:tcPr>
            <w:tcW w:w="2520" w:type="dxa"/>
            <w:vAlign w:val="center"/>
          </w:tcPr>
          <w:p>
            <w:pPr>
              <w:pStyle w:val="1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63" w:type="dxa"/>
            <w:vAlign w:val="center"/>
          </w:tcPr>
          <w:p>
            <w:pPr>
              <w:pStyle w:val="10"/>
              <w:rPr>
                <w:rFonts w:hAnsi="宋体"/>
                <w:sz w:val="24"/>
              </w:rPr>
            </w:pPr>
          </w:p>
        </w:tc>
        <w:tc>
          <w:tcPr>
            <w:tcW w:w="1561" w:type="dxa"/>
            <w:vAlign w:val="center"/>
          </w:tcPr>
          <w:p>
            <w:pPr>
              <w:pStyle w:val="10"/>
              <w:rPr>
                <w:rFonts w:hAnsi="宋体"/>
                <w:sz w:val="24"/>
              </w:rPr>
            </w:pPr>
          </w:p>
        </w:tc>
        <w:tc>
          <w:tcPr>
            <w:tcW w:w="1744" w:type="dxa"/>
            <w:vAlign w:val="center"/>
          </w:tcPr>
          <w:p>
            <w:pPr>
              <w:pStyle w:val="10"/>
              <w:rPr>
                <w:rFonts w:hAnsi="宋体"/>
                <w:sz w:val="24"/>
              </w:rPr>
            </w:pPr>
          </w:p>
        </w:tc>
        <w:tc>
          <w:tcPr>
            <w:tcW w:w="1260" w:type="dxa"/>
            <w:vAlign w:val="center"/>
          </w:tcPr>
          <w:p>
            <w:pPr>
              <w:pStyle w:val="10"/>
              <w:rPr>
                <w:rFonts w:hAnsi="宋体"/>
                <w:sz w:val="24"/>
              </w:rPr>
            </w:pPr>
          </w:p>
        </w:tc>
        <w:tc>
          <w:tcPr>
            <w:tcW w:w="1800" w:type="dxa"/>
            <w:vAlign w:val="center"/>
          </w:tcPr>
          <w:p>
            <w:pPr>
              <w:pStyle w:val="10"/>
              <w:rPr>
                <w:rFonts w:hAnsi="宋体"/>
                <w:sz w:val="24"/>
              </w:rPr>
            </w:pPr>
          </w:p>
        </w:tc>
        <w:tc>
          <w:tcPr>
            <w:tcW w:w="2520" w:type="dxa"/>
            <w:vAlign w:val="center"/>
          </w:tcPr>
          <w:p>
            <w:pPr>
              <w:pStyle w:val="1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63" w:type="dxa"/>
            <w:vAlign w:val="center"/>
          </w:tcPr>
          <w:p>
            <w:pPr>
              <w:pStyle w:val="10"/>
              <w:rPr>
                <w:rFonts w:hAnsi="宋体"/>
                <w:sz w:val="24"/>
              </w:rPr>
            </w:pPr>
          </w:p>
        </w:tc>
        <w:tc>
          <w:tcPr>
            <w:tcW w:w="1561" w:type="dxa"/>
            <w:vAlign w:val="center"/>
          </w:tcPr>
          <w:p>
            <w:pPr>
              <w:pStyle w:val="10"/>
              <w:rPr>
                <w:rFonts w:hAnsi="宋体"/>
                <w:sz w:val="24"/>
              </w:rPr>
            </w:pPr>
          </w:p>
        </w:tc>
        <w:tc>
          <w:tcPr>
            <w:tcW w:w="1744" w:type="dxa"/>
            <w:vAlign w:val="center"/>
          </w:tcPr>
          <w:p>
            <w:pPr>
              <w:pStyle w:val="10"/>
              <w:rPr>
                <w:rFonts w:hAnsi="宋体"/>
                <w:sz w:val="24"/>
              </w:rPr>
            </w:pPr>
          </w:p>
        </w:tc>
        <w:tc>
          <w:tcPr>
            <w:tcW w:w="1260" w:type="dxa"/>
            <w:vAlign w:val="center"/>
          </w:tcPr>
          <w:p>
            <w:pPr>
              <w:pStyle w:val="10"/>
              <w:rPr>
                <w:rFonts w:hAnsi="宋体"/>
                <w:sz w:val="24"/>
              </w:rPr>
            </w:pPr>
          </w:p>
        </w:tc>
        <w:tc>
          <w:tcPr>
            <w:tcW w:w="1800" w:type="dxa"/>
            <w:vAlign w:val="center"/>
          </w:tcPr>
          <w:p>
            <w:pPr>
              <w:pStyle w:val="10"/>
              <w:rPr>
                <w:rFonts w:hAnsi="宋体"/>
                <w:sz w:val="24"/>
              </w:rPr>
            </w:pPr>
          </w:p>
        </w:tc>
        <w:tc>
          <w:tcPr>
            <w:tcW w:w="2520" w:type="dxa"/>
            <w:vAlign w:val="center"/>
          </w:tcPr>
          <w:p>
            <w:pPr>
              <w:pStyle w:val="1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63" w:type="dxa"/>
            <w:vAlign w:val="center"/>
          </w:tcPr>
          <w:p>
            <w:pPr>
              <w:pStyle w:val="10"/>
              <w:rPr>
                <w:rFonts w:hAnsi="宋体"/>
                <w:sz w:val="24"/>
              </w:rPr>
            </w:pPr>
          </w:p>
        </w:tc>
        <w:tc>
          <w:tcPr>
            <w:tcW w:w="1561" w:type="dxa"/>
            <w:vAlign w:val="center"/>
          </w:tcPr>
          <w:p>
            <w:pPr>
              <w:pStyle w:val="10"/>
              <w:rPr>
                <w:rFonts w:hAnsi="宋体"/>
                <w:sz w:val="24"/>
              </w:rPr>
            </w:pPr>
          </w:p>
        </w:tc>
        <w:tc>
          <w:tcPr>
            <w:tcW w:w="1744" w:type="dxa"/>
            <w:vAlign w:val="center"/>
          </w:tcPr>
          <w:p>
            <w:pPr>
              <w:pStyle w:val="10"/>
              <w:rPr>
                <w:rFonts w:hAnsi="宋体"/>
                <w:sz w:val="24"/>
              </w:rPr>
            </w:pPr>
          </w:p>
        </w:tc>
        <w:tc>
          <w:tcPr>
            <w:tcW w:w="1260" w:type="dxa"/>
            <w:vAlign w:val="center"/>
          </w:tcPr>
          <w:p>
            <w:pPr>
              <w:pStyle w:val="10"/>
              <w:rPr>
                <w:rFonts w:hAnsi="宋体"/>
                <w:sz w:val="24"/>
              </w:rPr>
            </w:pPr>
          </w:p>
        </w:tc>
        <w:tc>
          <w:tcPr>
            <w:tcW w:w="1800" w:type="dxa"/>
            <w:vAlign w:val="center"/>
          </w:tcPr>
          <w:p>
            <w:pPr>
              <w:pStyle w:val="10"/>
              <w:rPr>
                <w:rFonts w:hAnsi="宋体"/>
                <w:sz w:val="24"/>
              </w:rPr>
            </w:pPr>
          </w:p>
        </w:tc>
        <w:tc>
          <w:tcPr>
            <w:tcW w:w="2520" w:type="dxa"/>
            <w:vAlign w:val="center"/>
          </w:tcPr>
          <w:p>
            <w:pPr>
              <w:pStyle w:val="1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63" w:type="dxa"/>
            <w:vAlign w:val="center"/>
          </w:tcPr>
          <w:p>
            <w:pPr>
              <w:pStyle w:val="10"/>
              <w:rPr>
                <w:rFonts w:hAnsi="宋体"/>
                <w:sz w:val="24"/>
              </w:rPr>
            </w:pPr>
            <w:r>
              <w:rPr>
                <w:rFonts w:hint="eastAsia" w:hAnsi="宋体"/>
                <w:sz w:val="24"/>
              </w:rPr>
              <w:t>……</w:t>
            </w:r>
          </w:p>
        </w:tc>
        <w:tc>
          <w:tcPr>
            <w:tcW w:w="1561" w:type="dxa"/>
            <w:vAlign w:val="center"/>
          </w:tcPr>
          <w:p>
            <w:pPr>
              <w:pStyle w:val="10"/>
              <w:rPr>
                <w:rFonts w:hAnsi="宋体"/>
                <w:sz w:val="24"/>
              </w:rPr>
            </w:pPr>
          </w:p>
        </w:tc>
        <w:tc>
          <w:tcPr>
            <w:tcW w:w="1744" w:type="dxa"/>
            <w:vAlign w:val="center"/>
          </w:tcPr>
          <w:p>
            <w:pPr>
              <w:pStyle w:val="10"/>
              <w:rPr>
                <w:rFonts w:hAnsi="宋体"/>
                <w:sz w:val="24"/>
              </w:rPr>
            </w:pPr>
          </w:p>
        </w:tc>
        <w:tc>
          <w:tcPr>
            <w:tcW w:w="1260" w:type="dxa"/>
            <w:vAlign w:val="center"/>
          </w:tcPr>
          <w:p>
            <w:pPr>
              <w:pStyle w:val="10"/>
              <w:rPr>
                <w:rFonts w:hAnsi="宋体"/>
                <w:sz w:val="24"/>
              </w:rPr>
            </w:pPr>
          </w:p>
        </w:tc>
        <w:tc>
          <w:tcPr>
            <w:tcW w:w="1800" w:type="dxa"/>
            <w:vAlign w:val="center"/>
          </w:tcPr>
          <w:p>
            <w:pPr>
              <w:pStyle w:val="10"/>
              <w:rPr>
                <w:rFonts w:hAnsi="宋体"/>
                <w:sz w:val="24"/>
              </w:rPr>
            </w:pPr>
          </w:p>
        </w:tc>
        <w:tc>
          <w:tcPr>
            <w:tcW w:w="2520" w:type="dxa"/>
            <w:vAlign w:val="center"/>
          </w:tcPr>
          <w:p>
            <w:pPr>
              <w:pStyle w:val="10"/>
              <w:rPr>
                <w:rFonts w:hAnsi="宋体"/>
                <w:sz w:val="24"/>
              </w:rPr>
            </w:pPr>
          </w:p>
        </w:tc>
      </w:tr>
    </w:tbl>
    <w:p>
      <w:pPr>
        <w:pStyle w:val="10"/>
        <w:spacing w:line="360" w:lineRule="auto"/>
        <w:rPr>
          <w:rFonts w:hAnsi="宋体"/>
          <w:sz w:val="24"/>
        </w:rPr>
      </w:pPr>
      <w:r>
        <w:rPr>
          <w:rFonts w:hAnsi="宋体"/>
          <w:sz w:val="24"/>
        </w:rPr>
        <w:t>注：</w:t>
      </w:r>
    </w:p>
    <w:p>
      <w:pPr>
        <w:pStyle w:val="10"/>
        <w:spacing w:line="360" w:lineRule="auto"/>
        <w:ind w:firstLine="468" w:firstLineChars="195"/>
        <w:rPr>
          <w:rFonts w:hAnsi="宋体"/>
          <w:sz w:val="24"/>
        </w:rPr>
      </w:pPr>
      <w:r>
        <w:rPr>
          <w:rFonts w:hint="eastAsia" w:hAnsi="宋体"/>
          <w:sz w:val="24"/>
        </w:rPr>
        <w:t>1.</w:t>
      </w:r>
      <w:r>
        <w:rPr>
          <w:rFonts w:hAnsi="宋体"/>
          <w:sz w:val="24"/>
        </w:rPr>
        <w:t>附上每个业绩合同</w:t>
      </w:r>
      <w:r>
        <w:rPr>
          <w:rFonts w:hint="eastAsia" w:hAnsi="宋体"/>
          <w:sz w:val="24"/>
        </w:rPr>
        <w:t>及验收报告</w:t>
      </w:r>
      <w:r>
        <w:rPr>
          <w:rFonts w:hAnsi="宋体"/>
          <w:sz w:val="24"/>
        </w:rPr>
        <w:t>，</w:t>
      </w:r>
      <w:r>
        <w:rPr>
          <w:rFonts w:hint="eastAsia" w:hAnsi="宋体"/>
          <w:sz w:val="24"/>
        </w:rPr>
        <w:t>并提供原件</w:t>
      </w:r>
      <w:r>
        <w:rPr>
          <w:rFonts w:hAnsi="宋体"/>
          <w:sz w:val="24"/>
        </w:rPr>
        <w:t>备查。</w:t>
      </w:r>
    </w:p>
    <w:p>
      <w:pPr>
        <w:autoSpaceDE w:val="0"/>
        <w:autoSpaceDN w:val="0"/>
        <w:adjustRightInd w:val="0"/>
        <w:spacing w:line="560" w:lineRule="exact"/>
        <w:ind w:firstLine="6000" w:firstLineChars="2500"/>
        <w:rPr>
          <w:rFonts w:ascii="宋体" w:hAnsi="宋体"/>
          <w:sz w:val="24"/>
        </w:rPr>
      </w:pPr>
    </w:p>
    <w:p>
      <w:pPr>
        <w:pStyle w:val="10"/>
        <w:spacing w:line="560" w:lineRule="exact"/>
        <w:ind w:firstLine="5520" w:firstLineChars="2300"/>
        <w:rPr>
          <w:rFonts w:hAnsi="宋体"/>
          <w:sz w:val="24"/>
          <w:lang w:val="zh-CN"/>
        </w:rPr>
      </w:pPr>
      <w:bookmarkStart w:id="54" w:name="_Toc293989545"/>
      <w:r>
        <w:rPr>
          <w:rFonts w:hAnsi="宋体"/>
          <w:sz w:val="24"/>
          <w:lang w:val="zh-CN"/>
        </w:rPr>
        <w:t>投标人（盖单位章）：</w:t>
      </w:r>
    </w:p>
    <w:p>
      <w:pPr>
        <w:pStyle w:val="10"/>
        <w:spacing w:line="560" w:lineRule="exact"/>
        <w:ind w:firstLine="3600" w:firstLineChars="1500"/>
        <w:rPr>
          <w:rFonts w:hAnsi="宋体"/>
          <w:sz w:val="24"/>
          <w:lang w:val="zh-CN"/>
        </w:rPr>
      </w:pPr>
      <w:r>
        <w:rPr>
          <w:rFonts w:hAnsi="宋体"/>
          <w:sz w:val="24"/>
          <w:lang w:val="zh-CN"/>
        </w:rPr>
        <w:t>法定代表人或</w:t>
      </w:r>
      <w:r>
        <w:rPr>
          <w:rFonts w:hint="eastAsia" w:hAnsi="宋体"/>
          <w:sz w:val="24"/>
          <w:lang w:val="zh-CN"/>
        </w:rPr>
        <w:t>全权代表</w:t>
      </w:r>
      <w:r>
        <w:rPr>
          <w:rFonts w:hAnsi="宋体"/>
          <w:sz w:val="24"/>
          <w:lang w:val="zh-CN"/>
        </w:rPr>
        <w:t>（盖章或签字）：</w:t>
      </w:r>
    </w:p>
    <w:p>
      <w:pPr>
        <w:pStyle w:val="10"/>
        <w:spacing w:line="560" w:lineRule="exact"/>
        <w:rPr>
          <w:rFonts w:hAnsi="宋体"/>
          <w:sz w:val="24"/>
          <w:lang w:val="zh-CN"/>
        </w:rPr>
      </w:pPr>
      <w:r>
        <w:rPr>
          <w:rFonts w:hAnsi="宋体"/>
          <w:sz w:val="24"/>
          <w:lang w:val="zh-CN"/>
        </w:rPr>
        <w:t xml:space="preserve">                                   </w:t>
      </w:r>
      <w:r>
        <w:rPr>
          <w:rFonts w:hint="eastAsia" w:hAnsi="宋体"/>
          <w:sz w:val="24"/>
          <w:lang w:val="zh-CN"/>
        </w:rPr>
        <w:t xml:space="preserve">                        </w:t>
      </w:r>
      <w:r>
        <w:rPr>
          <w:rFonts w:hAnsi="宋体"/>
          <w:sz w:val="24"/>
          <w:lang w:val="zh-CN"/>
        </w:rPr>
        <w:t>日</w:t>
      </w:r>
      <w:r>
        <w:rPr>
          <w:rFonts w:hint="eastAsia" w:hAnsi="宋体"/>
          <w:sz w:val="24"/>
          <w:lang w:val="zh-CN"/>
        </w:rPr>
        <w:t xml:space="preserve"> </w:t>
      </w:r>
      <w:r>
        <w:rPr>
          <w:rFonts w:hAnsi="宋体"/>
          <w:sz w:val="24"/>
          <w:lang w:val="zh-CN"/>
        </w:rPr>
        <w:t>期：</w:t>
      </w:r>
    </w:p>
    <w:p>
      <w:pPr>
        <w:widowControl/>
        <w:jc w:val="left"/>
        <w:rPr>
          <w:sz w:val="24"/>
        </w:rPr>
      </w:pPr>
      <w:r>
        <w:br w:type="page"/>
      </w:r>
    </w:p>
    <w:p>
      <w:pPr>
        <w:pStyle w:val="4"/>
        <w:spacing w:before="0" w:after="0" w:line="360" w:lineRule="auto"/>
        <w:rPr>
          <w:kern w:val="0"/>
        </w:rPr>
      </w:pPr>
      <w:bookmarkStart w:id="55" w:name="_Toc19880438"/>
      <w:r>
        <w:rPr>
          <w:rFonts w:hint="eastAsia"/>
          <w:kern w:val="0"/>
        </w:rPr>
        <w:t>附件8:</w:t>
      </w:r>
      <w:bookmarkEnd w:id="54"/>
      <w:bookmarkEnd w:id="55"/>
      <w:r>
        <w:rPr>
          <w:rFonts w:hint="eastAsia"/>
          <w:kern w:val="0"/>
        </w:rPr>
        <w:t xml:space="preserve"> </w:t>
      </w:r>
    </w:p>
    <w:p>
      <w:pPr>
        <w:spacing w:afterLines="100" w:line="600" w:lineRule="exact"/>
        <w:jc w:val="center"/>
        <w:rPr>
          <w:rFonts w:ascii="宋体" w:hAnsi="宋体"/>
          <w:b/>
          <w:sz w:val="24"/>
          <w:szCs w:val="44"/>
        </w:rPr>
      </w:pPr>
      <w:r>
        <w:rPr>
          <w:rFonts w:hint="eastAsia" w:ascii="宋体" w:hAnsi="宋体"/>
          <w:b/>
          <w:sz w:val="24"/>
          <w:szCs w:val="44"/>
        </w:rPr>
        <w:t>项目实施人员一览表</w:t>
      </w:r>
    </w:p>
    <w:p>
      <w:pPr>
        <w:spacing w:line="360" w:lineRule="auto"/>
        <w:jc w:val="center"/>
        <w:rPr>
          <w:rFonts w:ascii="仿宋_GB2312" w:eastAsia="仿宋_GB2312"/>
        </w:rPr>
      </w:pPr>
      <w:r>
        <w:rPr>
          <w:rFonts w:hint="eastAsia" w:ascii="仿宋_GB2312" w:eastAsia="仿宋_GB2312"/>
        </w:rPr>
        <w:t>（按此格式自制）</w:t>
      </w:r>
    </w:p>
    <w:tbl>
      <w:tblPr>
        <w:tblStyle w:val="18"/>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23"/>
        <w:gridCol w:w="1022"/>
        <w:gridCol w:w="1022"/>
        <w:gridCol w:w="1022"/>
        <w:gridCol w:w="1022"/>
        <w:gridCol w:w="1891"/>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4" w:hRule="atLeast"/>
        </w:trPr>
        <w:tc>
          <w:tcPr>
            <w:tcW w:w="679" w:type="dxa"/>
            <w:vAlign w:val="center"/>
          </w:tcPr>
          <w:p>
            <w:pPr>
              <w:spacing w:line="360" w:lineRule="auto"/>
              <w:jc w:val="center"/>
              <w:rPr>
                <w:rFonts w:ascii="宋体" w:hAnsi="宋体"/>
                <w:sz w:val="24"/>
              </w:rPr>
            </w:pPr>
            <w:r>
              <w:rPr>
                <w:rFonts w:hint="eastAsia" w:ascii="宋体" w:hAnsi="宋体"/>
                <w:sz w:val="24"/>
              </w:rPr>
              <w:t>序号</w:t>
            </w:r>
          </w:p>
        </w:tc>
        <w:tc>
          <w:tcPr>
            <w:tcW w:w="1023" w:type="dxa"/>
            <w:vAlign w:val="center"/>
          </w:tcPr>
          <w:p>
            <w:pPr>
              <w:spacing w:line="360" w:lineRule="auto"/>
              <w:jc w:val="center"/>
              <w:rPr>
                <w:rFonts w:ascii="宋体" w:hAnsi="宋体"/>
                <w:sz w:val="24"/>
              </w:rPr>
            </w:pPr>
            <w:r>
              <w:rPr>
                <w:rFonts w:hint="eastAsia" w:ascii="宋体" w:hAnsi="宋体"/>
                <w:sz w:val="24"/>
              </w:rPr>
              <w:t>姓名</w:t>
            </w:r>
          </w:p>
        </w:tc>
        <w:tc>
          <w:tcPr>
            <w:tcW w:w="1022" w:type="dxa"/>
            <w:vAlign w:val="center"/>
          </w:tcPr>
          <w:p>
            <w:pPr>
              <w:spacing w:line="360" w:lineRule="auto"/>
              <w:jc w:val="center"/>
              <w:rPr>
                <w:rFonts w:ascii="宋体" w:hAnsi="宋体"/>
                <w:sz w:val="24"/>
              </w:rPr>
            </w:pPr>
            <w:r>
              <w:rPr>
                <w:rFonts w:hint="eastAsia" w:ascii="宋体" w:hAnsi="宋体"/>
                <w:sz w:val="24"/>
              </w:rPr>
              <w:t>性别</w:t>
            </w:r>
          </w:p>
        </w:tc>
        <w:tc>
          <w:tcPr>
            <w:tcW w:w="1022" w:type="dxa"/>
            <w:vAlign w:val="center"/>
          </w:tcPr>
          <w:p>
            <w:pPr>
              <w:spacing w:line="360" w:lineRule="auto"/>
              <w:jc w:val="center"/>
              <w:rPr>
                <w:rFonts w:ascii="宋体" w:hAnsi="宋体"/>
                <w:sz w:val="24"/>
              </w:rPr>
            </w:pPr>
            <w:r>
              <w:rPr>
                <w:rFonts w:hint="eastAsia" w:ascii="宋体" w:hAnsi="宋体"/>
                <w:sz w:val="24"/>
              </w:rPr>
              <w:t>年龄</w:t>
            </w:r>
          </w:p>
        </w:tc>
        <w:tc>
          <w:tcPr>
            <w:tcW w:w="1022" w:type="dxa"/>
            <w:vAlign w:val="center"/>
          </w:tcPr>
          <w:p>
            <w:pPr>
              <w:spacing w:line="360" w:lineRule="auto"/>
              <w:jc w:val="center"/>
              <w:rPr>
                <w:rFonts w:ascii="宋体" w:hAnsi="宋体"/>
                <w:sz w:val="24"/>
              </w:rPr>
            </w:pPr>
            <w:r>
              <w:rPr>
                <w:rFonts w:hint="eastAsia" w:ascii="宋体" w:hAnsi="宋体"/>
                <w:sz w:val="24"/>
              </w:rPr>
              <w:t>专业</w:t>
            </w:r>
          </w:p>
        </w:tc>
        <w:tc>
          <w:tcPr>
            <w:tcW w:w="1022" w:type="dxa"/>
            <w:vAlign w:val="center"/>
          </w:tcPr>
          <w:p>
            <w:pPr>
              <w:spacing w:line="360" w:lineRule="auto"/>
              <w:jc w:val="center"/>
              <w:rPr>
                <w:rFonts w:ascii="宋体" w:hAnsi="宋体"/>
                <w:sz w:val="24"/>
              </w:rPr>
            </w:pPr>
            <w:r>
              <w:rPr>
                <w:rFonts w:hint="eastAsia" w:ascii="宋体" w:hAnsi="宋体"/>
                <w:sz w:val="24"/>
              </w:rPr>
              <w:t>职称</w:t>
            </w:r>
          </w:p>
        </w:tc>
        <w:tc>
          <w:tcPr>
            <w:tcW w:w="1891" w:type="dxa"/>
            <w:vAlign w:val="center"/>
          </w:tcPr>
          <w:p>
            <w:pPr>
              <w:spacing w:line="360" w:lineRule="auto"/>
              <w:jc w:val="center"/>
              <w:rPr>
                <w:rFonts w:ascii="宋体" w:hAnsi="宋体"/>
                <w:sz w:val="24"/>
              </w:rPr>
            </w:pPr>
            <w:r>
              <w:rPr>
                <w:rFonts w:hint="eastAsia" w:ascii="宋体" w:hAnsi="宋体"/>
                <w:sz w:val="24"/>
              </w:rPr>
              <w:t>本项目中的职责</w:t>
            </w:r>
          </w:p>
        </w:tc>
        <w:tc>
          <w:tcPr>
            <w:tcW w:w="1891" w:type="dxa"/>
            <w:vAlign w:val="center"/>
          </w:tcPr>
          <w:p>
            <w:pPr>
              <w:spacing w:line="360" w:lineRule="auto"/>
              <w:jc w:val="center"/>
              <w:rPr>
                <w:rFonts w:ascii="宋体" w:hAnsi="宋体"/>
                <w:sz w:val="24"/>
              </w:rPr>
            </w:pPr>
            <w:r>
              <w:rPr>
                <w:rFonts w:hint="eastAsia" w:ascii="宋体" w:hAnsi="宋体"/>
                <w:sz w:val="24"/>
              </w:rPr>
              <w:t>参与本项目的到位情况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sz w:val="24"/>
              </w:rPr>
            </w:pPr>
          </w:p>
        </w:tc>
        <w:tc>
          <w:tcPr>
            <w:tcW w:w="1023"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891" w:type="dxa"/>
          </w:tcPr>
          <w:p>
            <w:pPr>
              <w:spacing w:line="360" w:lineRule="auto"/>
              <w:rPr>
                <w:rFonts w:ascii="宋体" w:hAnsi="宋体"/>
                <w:sz w:val="24"/>
              </w:rPr>
            </w:pPr>
          </w:p>
        </w:tc>
        <w:tc>
          <w:tcPr>
            <w:tcW w:w="189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sz w:val="24"/>
              </w:rPr>
            </w:pPr>
          </w:p>
        </w:tc>
        <w:tc>
          <w:tcPr>
            <w:tcW w:w="1023"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891" w:type="dxa"/>
          </w:tcPr>
          <w:p>
            <w:pPr>
              <w:spacing w:line="360" w:lineRule="auto"/>
              <w:rPr>
                <w:rFonts w:ascii="宋体" w:hAnsi="宋体"/>
                <w:sz w:val="24"/>
              </w:rPr>
            </w:pPr>
          </w:p>
        </w:tc>
        <w:tc>
          <w:tcPr>
            <w:tcW w:w="189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sz w:val="24"/>
              </w:rPr>
            </w:pPr>
          </w:p>
        </w:tc>
        <w:tc>
          <w:tcPr>
            <w:tcW w:w="1023"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891" w:type="dxa"/>
          </w:tcPr>
          <w:p>
            <w:pPr>
              <w:spacing w:line="360" w:lineRule="auto"/>
              <w:rPr>
                <w:rFonts w:ascii="宋体" w:hAnsi="宋体"/>
                <w:sz w:val="24"/>
              </w:rPr>
            </w:pPr>
          </w:p>
        </w:tc>
        <w:tc>
          <w:tcPr>
            <w:tcW w:w="189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79" w:type="dxa"/>
          </w:tcPr>
          <w:p>
            <w:pPr>
              <w:spacing w:line="360" w:lineRule="auto"/>
              <w:jc w:val="center"/>
              <w:rPr>
                <w:rFonts w:ascii="宋体" w:hAnsi="宋体"/>
                <w:sz w:val="24"/>
              </w:rPr>
            </w:pPr>
          </w:p>
        </w:tc>
        <w:tc>
          <w:tcPr>
            <w:tcW w:w="1023"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891" w:type="dxa"/>
          </w:tcPr>
          <w:p>
            <w:pPr>
              <w:spacing w:line="360" w:lineRule="auto"/>
              <w:rPr>
                <w:rFonts w:ascii="宋体" w:hAnsi="宋体"/>
                <w:sz w:val="24"/>
              </w:rPr>
            </w:pPr>
          </w:p>
        </w:tc>
        <w:tc>
          <w:tcPr>
            <w:tcW w:w="189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sz w:val="24"/>
              </w:rPr>
            </w:pPr>
          </w:p>
        </w:tc>
        <w:tc>
          <w:tcPr>
            <w:tcW w:w="1023"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891" w:type="dxa"/>
          </w:tcPr>
          <w:p>
            <w:pPr>
              <w:spacing w:line="360" w:lineRule="auto"/>
              <w:rPr>
                <w:rFonts w:ascii="宋体" w:hAnsi="宋体"/>
                <w:sz w:val="24"/>
              </w:rPr>
            </w:pPr>
          </w:p>
        </w:tc>
        <w:tc>
          <w:tcPr>
            <w:tcW w:w="189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sz w:val="24"/>
              </w:rPr>
            </w:pPr>
          </w:p>
        </w:tc>
        <w:tc>
          <w:tcPr>
            <w:tcW w:w="1023"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891" w:type="dxa"/>
          </w:tcPr>
          <w:p>
            <w:pPr>
              <w:spacing w:line="360" w:lineRule="auto"/>
              <w:rPr>
                <w:rFonts w:ascii="宋体" w:hAnsi="宋体"/>
                <w:sz w:val="24"/>
              </w:rPr>
            </w:pPr>
          </w:p>
        </w:tc>
        <w:tc>
          <w:tcPr>
            <w:tcW w:w="189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sz w:val="24"/>
              </w:rPr>
            </w:pPr>
          </w:p>
        </w:tc>
        <w:tc>
          <w:tcPr>
            <w:tcW w:w="1023"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891" w:type="dxa"/>
          </w:tcPr>
          <w:p>
            <w:pPr>
              <w:spacing w:line="360" w:lineRule="auto"/>
              <w:rPr>
                <w:rFonts w:ascii="宋体" w:hAnsi="宋体"/>
                <w:sz w:val="24"/>
              </w:rPr>
            </w:pPr>
          </w:p>
        </w:tc>
        <w:tc>
          <w:tcPr>
            <w:tcW w:w="189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sz w:val="24"/>
              </w:rPr>
            </w:pPr>
          </w:p>
        </w:tc>
        <w:tc>
          <w:tcPr>
            <w:tcW w:w="1023"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891" w:type="dxa"/>
          </w:tcPr>
          <w:p>
            <w:pPr>
              <w:spacing w:line="360" w:lineRule="auto"/>
              <w:rPr>
                <w:rFonts w:ascii="宋体" w:hAnsi="宋体"/>
                <w:sz w:val="24"/>
              </w:rPr>
            </w:pPr>
          </w:p>
        </w:tc>
        <w:tc>
          <w:tcPr>
            <w:tcW w:w="189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sz w:val="24"/>
              </w:rPr>
            </w:pPr>
          </w:p>
        </w:tc>
        <w:tc>
          <w:tcPr>
            <w:tcW w:w="1023"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022" w:type="dxa"/>
          </w:tcPr>
          <w:p>
            <w:pPr>
              <w:spacing w:line="360" w:lineRule="auto"/>
              <w:rPr>
                <w:rFonts w:ascii="宋体" w:hAnsi="宋体"/>
                <w:sz w:val="24"/>
              </w:rPr>
            </w:pPr>
          </w:p>
        </w:tc>
        <w:tc>
          <w:tcPr>
            <w:tcW w:w="1891" w:type="dxa"/>
          </w:tcPr>
          <w:p>
            <w:pPr>
              <w:spacing w:line="360" w:lineRule="auto"/>
              <w:rPr>
                <w:rFonts w:ascii="宋体" w:hAnsi="宋体"/>
                <w:sz w:val="24"/>
              </w:rPr>
            </w:pPr>
          </w:p>
        </w:tc>
        <w:tc>
          <w:tcPr>
            <w:tcW w:w="1891" w:type="dxa"/>
          </w:tcPr>
          <w:p>
            <w:pPr>
              <w:spacing w:line="360" w:lineRule="auto"/>
              <w:rPr>
                <w:rFonts w:ascii="宋体" w:hAnsi="宋体"/>
                <w:sz w:val="24"/>
              </w:rPr>
            </w:pPr>
          </w:p>
        </w:tc>
      </w:tr>
    </w:tbl>
    <w:p>
      <w:pPr>
        <w:rPr>
          <w:rFonts w:ascii="宋体" w:hAnsi="宋体"/>
          <w:sz w:val="24"/>
        </w:rPr>
      </w:pPr>
    </w:p>
    <w:p>
      <w:pPr>
        <w:pStyle w:val="10"/>
        <w:spacing w:line="560" w:lineRule="exact"/>
        <w:ind w:firstLine="5520" w:firstLineChars="2300"/>
        <w:rPr>
          <w:rFonts w:hAnsi="宋体"/>
          <w:sz w:val="24"/>
          <w:lang w:val="zh-CN"/>
        </w:rPr>
      </w:pPr>
      <w:r>
        <w:rPr>
          <w:rFonts w:hAnsi="宋体"/>
          <w:sz w:val="24"/>
          <w:lang w:val="zh-CN"/>
        </w:rPr>
        <w:t>投标人（盖单位章）：</w:t>
      </w:r>
    </w:p>
    <w:p>
      <w:pPr>
        <w:pStyle w:val="10"/>
        <w:spacing w:line="560" w:lineRule="exact"/>
        <w:ind w:firstLine="3600" w:firstLineChars="1500"/>
        <w:rPr>
          <w:rFonts w:hAnsi="宋体"/>
          <w:sz w:val="24"/>
          <w:lang w:val="zh-CN"/>
        </w:rPr>
      </w:pPr>
      <w:r>
        <w:rPr>
          <w:rFonts w:hAnsi="宋体"/>
          <w:sz w:val="24"/>
          <w:lang w:val="zh-CN"/>
        </w:rPr>
        <w:t>法定代表人或</w:t>
      </w:r>
      <w:r>
        <w:rPr>
          <w:rFonts w:hint="eastAsia" w:hAnsi="宋体"/>
          <w:sz w:val="24"/>
          <w:lang w:val="zh-CN"/>
        </w:rPr>
        <w:t>全权代表</w:t>
      </w:r>
      <w:r>
        <w:rPr>
          <w:rFonts w:hAnsi="宋体"/>
          <w:sz w:val="24"/>
          <w:lang w:val="zh-CN"/>
        </w:rPr>
        <w:t>（盖章或签字）：</w:t>
      </w:r>
    </w:p>
    <w:p>
      <w:pPr>
        <w:pStyle w:val="10"/>
        <w:spacing w:line="560" w:lineRule="exact"/>
        <w:rPr>
          <w:rFonts w:hint="eastAsia"/>
          <w:kern w:val="0"/>
        </w:rPr>
      </w:pPr>
      <w:r>
        <w:rPr>
          <w:rFonts w:hAnsi="宋体"/>
          <w:sz w:val="24"/>
          <w:lang w:val="zh-CN"/>
        </w:rPr>
        <w:t xml:space="preserve">                                   </w:t>
      </w:r>
      <w:r>
        <w:rPr>
          <w:rFonts w:hint="eastAsia" w:hAnsi="宋体"/>
          <w:sz w:val="24"/>
          <w:lang w:val="zh-CN"/>
        </w:rPr>
        <w:t xml:space="preserve">                        </w:t>
      </w:r>
      <w:r>
        <w:rPr>
          <w:rFonts w:hAnsi="宋体"/>
          <w:sz w:val="24"/>
          <w:lang w:val="zh-CN"/>
        </w:rPr>
        <w:t>日</w:t>
      </w:r>
      <w:r>
        <w:rPr>
          <w:rFonts w:hint="eastAsia" w:hAnsi="宋体"/>
          <w:sz w:val="24"/>
          <w:lang w:val="zh-CN"/>
        </w:rPr>
        <w:t xml:space="preserve"> </w:t>
      </w:r>
      <w:r>
        <w:rPr>
          <w:rFonts w:hAnsi="宋体"/>
          <w:sz w:val="24"/>
          <w:lang w:val="zh-CN"/>
        </w:rPr>
        <w:t>期：</w:t>
      </w:r>
      <w:r>
        <w:rPr>
          <w:kern w:val="0"/>
        </w:rPr>
        <w:t xml:space="preserve"> </w:t>
      </w:r>
    </w:p>
    <w:p>
      <w:pPr>
        <w:widowControl/>
        <w:jc w:val="left"/>
        <w:rPr>
          <w:rFonts w:ascii="宋体" w:hAnsi="Courier New" w:cstheme="minorBidi"/>
          <w:kern w:val="0"/>
        </w:rPr>
      </w:pPr>
      <w:r>
        <w:rPr>
          <w:kern w:val="0"/>
        </w:rPr>
        <w:br w:type="page"/>
      </w:r>
    </w:p>
    <w:p>
      <w:pPr>
        <w:pStyle w:val="4"/>
        <w:spacing w:before="0" w:after="0" w:line="360" w:lineRule="auto"/>
        <w:rPr>
          <w:kern w:val="0"/>
        </w:rPr>
      </w:pPr>
      <w:bookmarkStart w:id="56" w:name="_Toc19880439"/>
      <w:r>
        <w:rPr>
          <w:rFonts w:hint="eastAsia"/>
          <w:kern w:val="0"/>
        </w:rPr>
        <w:t>附件:9</w:t>
      </w:r>
      <w:bookmarkEnd w:id="56"/>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Lines="100" w:line="360" w:lineRule="auto"/>
        <w:ind w:right="-108"/>
        <w:jc w:val="center"/>
        <w:rPr>
          <w:rFonts w:ascii="宋体" w:hAnsi="宋体"/>
          <w:sz w:val="36"/>
          <w:szCs w:val="36"/>
        </w:rPr>
      </w:pPr>
      <w:r>
        <w:rPr>
          <w:rFonts w:hint="eastAsia" w:ascii="宋体" w:hAnsi="宋体"/>
          <w:sz w:val="36"/>
          <w:szCs w:val="36"/>
        </w:rPr>
        <w:t>项目编号：</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报</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价</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件</w:t>
      </w: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r>
        <w:rPr>
          <w:rFonts w:hint="eastAsia" w:ascii="宋体" w:hAnsi="宋体"/>
          <w:sz w:val="36"/>
          <w:szCs w:val="36"/>
        </w:rPr>
        <w:t>供应商全称（公章）：</w:t>
      </w:r>
    </w:p>
    <w:p>
      <w:pPr>
        <w:spacing w:line="360" w:lineRule="auto"/>
        <w:ind w:right="-108" w:firstLine="720" w:firstLineChars="200"/>
        <w:rPr>
          <w:rFonts w:ascii="宋体" w:hAnsi="宋体"/>
          <w:sz w:val="36"/>
          <w:szCs w:val="36"/>
        </w:rPr>
      </w:pPr>
      <w:r>
        <w:rPr>
          <w:rFonts w:hint="eastAsia" w:ascii="宋体" w:hAnsi="宋体"/>
          <w:sz w:val="36"/>
          <w:szCs w:val="36"/>
        </w:rPr>
        <w:t>地    址：</w:t>
      </w:r>
    </w:p>
    <w:p>
      <w:pPr>
        <w:spacing w:line="360" w:lineRule="auto"/>
        <w:ind w:right="-108" w:firstLine="720" w:firstLineChars="200"/>
        <w:rPr>
          <w:rFonts w:hint="eastAsia" w:ascii="宋体" w:hAnsi="宋体"/>
          <w:sz w:val="36"/>
          <w:szCs w:val="36"/>
        </w:rPr>
      </w:pPr>
      <w:r>
        <w:rPr>
          <w:rFonts w:hint="eastAsia" w:ascii="宋体" w:hAnsi="宋体"/>
          <w:sz w:val="36"/>
          <w:szCs w:val="36"/>
        </w:rPr>
        <w:t>时    间：</w:t>
      </w:r>
    </w:p>
    <w:p>
      <w:pPr>
        <w:widowControl/>
        <w:jc w:val="left"/>
        <w:rPr>
          <w:sz w:val="24"/>
        </w:rPr>
      </w:pPr>
      <w:r>
        <w:br w:type="page"/>
      </w:r>
    </w:p>
    <w:p>
      <w:pPr>
        <w:pStyle w:val="2"/>
      </w:pPr>
    </w:p>
    <w:p>
      <w:pPr>
        <w:spacing w:line="360" w:lineRule="auto"/>
        <w:ind w:right="-108"/>
        <w:jc w:val="center"/>
        <w:rPr>
          <w:rFonts w:ascii="宋体" w:hAnsi="宋体"/>
          <w:b/>
          <w:sz w:val="32"/>
          <w:szCs w:val="32"/>
        </w:rPr>
      </w:pPr>
      <w:r>
        <w:rPr>
          <w:rFonts w:hint="eastAsia" w:ascii="宋体" w:hAnsi="宋体"/>
          <w:b/>
          <w:sz w:val="32"/>
          <w:szCs w:val="32"/>
        </w:rPr>
        <w:t>报价文件目录</w:t>
      </w:r>
    </w:p>
    <w:p>
      <w:pPr>
        <w:spacing w:line="360" w:lineRule="auto"/>
        <w:ind w:right="-108"/>
        <w:jc w:val="center"/>
        <w:rPr>
          <w:rFonts w:ascii="仿宋_GB2312" w:hAnsi="宋体" w:eastAsia="仿宋_GB2312"/>
          <w:b/>
          <w:sz w:val="36"/>
          <w:szCs w:val="36"/>
        </w:rPr>
      </w:pPr>
    </w:p>
    <w:p>
      <w:pPr>
        <w:snapToGrid w:val="0"/>
        <w:spacing w:line="360" w:lineRule="auto"/>
        <w:ind w:firstLine="480" w:firstLineChars="200"/>
        <w:rPr>
          <w:rFonts w:hAnsi="宋体"/>
          <w:sz w:val="24"/>
        </w:rPr>
      </w:pPr>
      <w:r>
        <w:rPr>
          <w:rFonts w:hint="eastAsia" w:hAnsi="宋体"/>
          <w:sz w:val="24"/>
        </w:rPr>
        <w:t>（1）开标一览表（附件10）；</w:t>
      </w:r>
    </w:p>
    <w:p>
      <w:pPr>
        <w:snapToGrid w:val="0"/>
        <w:spacing w:line="360" w:lineRule="auto"/>
        <w:ind w:firstLine="480" w:firstLineChars="200"/>
        <w:rPr>
          <w:rFonts w:hint="eastAsia" w:hAnsi="宋体"/>
          <w:sz w:val="24"/>
        </w:rPr>
      </w:pPr>
      <w:r>
        <w:rPr>
          <w:rFonts w:hint="eastAsia" w:hAnsi="宋体"/>
          <w:sz w:val="24"/>
        </w:rPr>
        <w:t>（2）报价明细表（附件11）</w:t>
      </w:r>
    </w:p>
    <w:p>
      <w:pPr>
        <w:snapToGrid w:val="0"/>
        <w:spacing w:line="360" w:lineRule="auto"/>
        <w:ind w:firstLine="420" w:firstLineChars="200"/>
      </w:pPr>
      <w:r>
        <w:rPr>
          <w:rFonts w:hint="eastAsia"/>
        </w:rPr>
        <w:t xml:space="preserve"> </w:t>
      </w:r>
      <w:r>
        <w:rPr>
          <w:rFonts w:hint="eastAsia" w:hAnsi="宋体"/>
          <w:sz w:val="24"/>
        </w:rPr>
        <w:t>（3）商务响应表（附件12）</w:t>
      </w:r>
    </w:p>
    <w:p>
      <w:pPr>
        <w:snapToGrid w:val="0"/>
        <w:spacing w:line="360" w:lineRule="auto"/>
        <w:ind w:firstLine="480" w:firstLineChars="200"/>
        <w:rPr>
          <w:rFonts w:hAnsi="宋体"/>
          <w:sz w:val="24"/>
        </w:rPr>
      </w:pPr>
      <w:r>
        <w:rPr>
          <w:rFonts w:hint="eastAsia" w:hAnsi="宋体"/>
          <w:sz w:val="24"/>
        </w:rPr>
        <w:t>（4）投标人认为其他需要说明的内容；</w:t>
      </w:r>
    </w:p>
    <w:p>
      <w:pPr>
        <w:spacing w:line="360" w:lineRule="auto"/>
        <w:rPr>
          <w:rFonts w:hint="eastAsia" w:ascii="宋体" w:hAnsi="宋体"/>
          <w:b/>
          <w:sz w:val="28"/>
        </w:rPr>
      </w:pPr>
    </w:p>
    <w:p>
      <w:pPr>
        <w:widowControl/>
        <w:jc w:val="left"/>
        <w:rPr>
          <w:sz w:val="24"/>
        </w:rPr>
      </w:pPr>
      <w:r>
        <w:br w:type="page"/>
      </w:r>
    </w:p>
    <w:p>
      <w:pPr>
        <w:pStyle w:val="4"/>
        <w:spacing w:before="0" w:after="0" w:line="360" w:lineRule="auto"/>
        <w:rPr>
          <w:kern w:val="0"/>
        </w:rPr>
      </w:pPr>
      <w:bookmarkStart w:id="57" w:name="_Toc19880440"/>
      <w:r>
        <w:rPr>
          <w:rFonts w:hint="eastAsia"/>
          <w:kern w:val="0"/>
        </w:rPr>
        <w:t>附件10</w:t>
      </w:r>
      <w:bookmarkEnd w:id="57"/>
    </w:p>
    <w:p>
      <w:pPr>
        <w:spacing w:line="360" w:lineRule="auto"/>
        <w:ind w:left="-2" w:hanging="2"/>
        <w:jc w:val="center"/>
        <w:rPr>
          <w:rFonts w:ascii="宋体" w:hAnsi="宋体"/>
          <w:b/>
          <w:sz w:val="32"/>
          <w:szCs w:val="32"/>
        </w:rPr>
      </w:pPr>
      <w:r>
        <w:rPr>
          <w:rFonts w:hint="eastAsia" w:ascii="宋体" w:hAnsi="宋体"/>
          <w:b/>
          <w:sz w:val="32"/>
          <w:szCs w:val="32"/>
        </w:rPr>
        <w:t xml:space="preserve">开标一览表 </w:t>
      </w:r>
    </w:p>
    <w:p>
      <w:pPr>
        <w:spacing w:line="360" w:lineRule="auto"/>
        <w:ind w:left="-2" w:hanging="2"/>
        <w:jc w:val="center"/>
        <w:rPr>
          <w:rFonts w:ascii="宋体" w:hAnsi="宋体"/>
          <w:b/>
          <w:sz w:val="32"/>
          <w:szCs w:val="32"/>
        </w:rPr>
      </w:pPr>
    </w:p>
    <w:p>
      <w:pPr>
        <w:pStyle w:val="10"/>
        <w:spacing w:line="320" w:lineRule="exact"/>
        <w:rPr>
          <w:rFonts w:hAnsi="宋体"/>
          <w:b/>
          <w:sz w:val="24"/>
        </w:rPr>
      </w:pPr>
      <w:r>
        <w:rPr>
          <w:rFonts w:hAnsi="宋体"/>
          <w:b/>
          <w:sz w:val="24"/>
        </w:rPr>
        <w:t>项目编号：</w:t>
      </w:r>
    </w:p>
    <w:p>
      <w:pPr>
        <w:pStyle w:val="37"/>
        <w:spacing w:line="360" w:lineRule="auto"/>
        <w:ind w:right="48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18"/>
        <w:tblW w:w="8522"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609"/>
        <w:gridCol w:w="978"/>
        <w:gridCol w:w="978"/>
        <w:gridCol w:w="1305"/>
        <w:gridCol w:w="978"/>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trPr>
        <w:tc>
          <w:tcPr>
            <w:tcW w:w="695" w:type="dxa"/>
            <w:vAlign w:val="center"/>
          </w:tcPr>
          <w:p>
            <w:pPr>
              <w:spacing w:line="360" w:lineRule="auto"/>
              <w:rPr>
                <w:rFonts w:ascii="宋体" w:hAnsi="宋体"/>
                <w:b/>
                <w:color w:val="000000"/>
                <w:szCs w:val="21"/>
              </w:rPr>
            </w:pPr>
            <w:r>
              <w:rPr>
                <w:rFonts w:hint="eastAsia" w:ascii="宋体" w:hAnsi="宋体"/>
                <w:b/>
                <w:color w:val="000000"/>
                <w:szCs w:val="21"/>
              </w:rPr>
              <w:t>序号</w:t>
            </w:r>
          </w:p>
        </w:tc>
        <w:tc>
          <w:tcPr>
            <w:tcW w:w="2609" w:type="dxa"/>
            <w:vAlign w:val="center"/>
          </w:tcPr>
          <w:p>
            <w:pPr>
              <w:tabs>
                <w:tab w:val="left" w:pos="8280"/>
              </w:tabs>
              <w:autoSpaceDE w:val="0"/>
              <w:autoSpaceDN w:val="0"/>
              <w:adjustRightInd w:val="0"/>
              <w:spacing w:line="360" w:lineRule="auto"/>
              <w:ind w:right="25" w:firstLine="105" w:firstLineChars="50"/>
              <w:rPr>
                <w:rFonts w:ascii="宋体" w:hAnsi="宋体"/>
                <w:b/>
                <w:color w:val="000000"/>
                <w:szCs w:val="21"/>
              </w:rPr>
            </w:pPr>
            <w:r>
              <w:rPr>
                <w:rFonts w:hint="eastAsia" w:ascii="宋体" w:hAnsi="宋体"/>
                <w:b/>
                <w:color w:val="000000"/>
                <w:szCs w:val="21"/>
              </w:rPr>
              <w:t>项目名称</w:t>
            </w:r>
          </w:p>
        </w:tc>
        <w:tc>
          <w:tcPr>
            <w:tcW w:w="978" w:type="dxa"/>
            <w:vAlign w:val="center"/>
          </w:tcPr>
          <w:p>
            <w:pPr>
              <w:spacing w:line="360" w:lineRule="auto"/>
              <w:rPr>
                <w:rFonts w:ascii="宋体" w:hAnsi="宋体"/>
                <w:b/>
                <w:color w:val="000000"/>
                <w:szCs w:val="21"/>
              </w:rPr>
            </w:pPr>
            <w:r>
              <w:rPr>
                <w:rFonts w:hint="eastAsia" w:ascii="宋体" w:hAnsi="宋体"/>
                <w:b/>
                <w:color w:val="000000"/>
                <w:szCs w:val="21"/>
              </w:rPr>
              <w:t>单位</w:t>
            </w:r>
          </w:p>
        </w:tc>
        <w:tc>
          <w:tcPr>
            <w:tcW w:w="978" w:type="dxa"/>
            <w:vAlign w:val="center"/>
          </w:tcPr>
          <w:p>
            <w:pPr>
              <w:spacing w:line="360" w:lineRule="auto"/>
              <w:rPr>
                <w:rFonts w:ascii="宋体" w:hAnsi="宋体"/>
                <w:b/>
                <w:color w:val="000000"/>
                <w:szCs w:val="21"/>
              </w:rPr>
            </w:pPr>
            <w:r>
              <w:rPr>
                <w:rFonts w:hint="eastAsia" w:ascii="宋体" w:hAnsi="宋体"/>
                <w:b/>
                <w:color w:val="000000"/>
                <w:szCs w:val="21"/>
              </w:rPr>
              <w:t>数量</w:t>
            </w:r>
          </w:p>
        </w:tc>
        <w:tc>
          <w:tcPr>
            <w:tcW w:w="1305" w:type="dxa"/>
            <w:vAlign w:val="center"/>
          </w:tcPr>
          <w:p>
            <w:pPr>
              <w:spacing w:line="360" w:lineRule="auto"/>
              <w:jc w:val="center"/>
              <w:rPr>
                <w:rFonts w:ascii="宋体" w:hAnsi="宋体"/>
                <w:b/>
                <w:color w:val="000000"/>
                <w:szCs w:val="21"/>
              </w:rPr>
            </w:pPr>
            <w:r>
              <w:rPr>
                <w:rFonts w:hint="eastAsia" w:ascii="宋体" w:hAnsi="宋体"/>
                <w:b/>
                <w:color w:val="000000"/>
                <w:szCs w:val="21"/>
              </w:rPr>
              <w:t>投标总价（元）</w:t>
            </w:r>
          </w:p>
        </w:tc>
        <w:tc>
          <w:tcPr>
            <w:tcW w:w="978" w:type="dxa"/>
            <w:vAlign w:val="center"/>
          </w:tcPr>
          <w:p>
            <w:pPr>
              <w:spacing w:line="360" w:lineRule="auto"/>
              <w:jc w:val="center"/>
              <w:rPr>
                <w:rFonts w:ascii="宋体" w:hAnsi="宋体"/>
                <w:b/>
                <w:color w:val="000000"/>
                <w:szCs w:val="21"/>
              </w:rPr>
            </w:pPr>
            <w:r>
              <w:rPr>
                <w:rFonts w:hint="eastAsia" w:ascii="宋体" w:hAnsi="宋体"/>
                <w:b/>
                <w:color w:val="000000"/>
                <w:szCs w:val="21"/>
              </w:rPr>
              <w:t>工期</w:t>
            </w:r>
          </w:p>
        </w:tc>
        <w:tc>
          <w:tcPr>
            <w:tcW w:w="979" w:type="dxa"/>
            <w:vAlign w:val="center"/>
          </w:tcPr>
          <w:p>
            <w:pPr>
              <w:tabs>
                <w:tab w:val="left" w:pos="8280"/>
              </w:tabs>
              <w:autoSpaceDE w:val="0"/>
              <w:autoSpaceDN w:val="0"/>
              <w:adjustRightInd w:val="0"/>
              <w:spacing w:line="360" w:lineRule="auto"/>
              <w:ind w:right="25"/>
              <w:rPr>
                <w:rFonts w:ascii="宋体" w:hAnsi="宋体"/>
                <w:b/>
                <w:color w:val="000000"/>
                <w:szCs w:val="21"/>
              </w:rPr>
            </w:pPr>
            <w:r>
              <w:rPr>
                <w:rFonts w:hint="eastAsia" w:ascii="宋体" w:hAnsi="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1" w:hRule="atLeast"/>
        </w:trPr>
        <w:tc>
          <w:tcPr>
            <w:tcW w:w="695" w:type="dxa"/>
            <w:vAlign w:val="center"/>
          </w:tcPr>
          <w:p>
            <w:pPr>
              <w:tabs>
                <w:tab w:val="left" w:pos="8280"/>
              </w:tabs>
              <w:autoSpaceDE w:val="0"/>
              <w:autoSpaceDN w:val="0"/>
              <w:adjustRightInd w:val="0"/>
              <w:spacing w:line="360" w:lineRule="auto"/>
              <w:ind w:right="25"/>
              <w:jc w:val="center"/>
              <w:rPr>
                <w:rFonts w:ascii="宋体" w:hAnsi="宋体"/>
                <w:b/>
                <w:color w:val="000000"/>
                <w:szCs w:val="21"/>
              </w:rPr>
            </w:pPr>
            <w:r>
              <w:rPr>
                <w:rFonts w:hint="eastAsia" w:ascii="宋体" w:hAnsi="宋体"/>
                <w:b/>
                <w:color w:val="000000"/>
                <w:szCs w:val="21"/>
              </w:rPr>
              <w:t>1</w:t>
            </w:r>
          </w:p>
        </w:tc>
        <w:tc>
          <w:tcPr>
            <w:tcW w:w="2609" w:type="dxa"/>
            <w:vAlign w:val="center"/>
          </w:tcPr>
          <w:p>
            <w:pPr>
              <w:tabs>
                <w:tab w:val="left" w:pos="8280"/>
              </w:tabs>
              <w:autoSpaceDE w:val="0"/>
              <w:autoSpaceDN w:val="0"/>
              <w:adjustRightInd w:val="0"/>
              <w:spacing w:line="360" w:lineRule="auto"/>
              <w:ind w:right="25"/>
              <w:jc w:val="center"/>
              <w:rPr>
                <w:rFonts w:ascii="宋体" w:hAnsi="宋体"/>
                <w:b/>
                <w:color w:val="000000"/>
                <w:szCs w:val="21"/>
              </w:rPr>
            </w:pPr>
            <w:r>
              <w:rPr>
                <w:rFonts w:hint="eastAsia"/>
                <w:bCs/>
              </w:rPr>
              <w:t>国网三门县供电公司物流中心标准化仓库弱电及排烟系统改造项目</w:t>
            </w:r>
          </w:p>
        </w:tc>
        <w:tc>
          <w:tcPr>
            <w:tcW w:w="978" w:type="dxa"/>
            <w:vAlign w:val="center"/>
          </w:tcPr>
          <w:p>
            <w:pPr>
              <w:tabs>
                <w:tab w:val="left" w:pos="8280"/>
              </w:tabs>
              <w:autoSpaceDE w:val="0"/>
              <w:autoSpaceDN w:val="0"/>
              <w:adjustRightInd w:val="0"/>
              <w:spacing w:line="360" w:lineRule="auto"/>
              <w:ind w:right="25"/>
              <w:jc w:val="center"/>
              <w:rPr>
                <w:rFonts w:ascii="宋体" w:hAnsi="宋体"/>
                <w:color w:val="000000"/>
                <w:szCs w:val="21"/>
              </w:rPr>
            </w:pPr>
            <w:r>
              <w:rPr>
                <w:rFonts w:hint="eastAsia" w:ascii="宋体" w:hAnsi="宋体"/>
                <w:color w:val="000000"/>
                <w:szCs w:val="21"/>
              </w:rPr>
              <w:t>项</w:t>
            </w:r>
          </w:p>
        </w:tc>
        <w:tc>
          <w:tcPr>
            <w:tcW w:w="978" w:type="dxa"/>
            <w:vAlign w:val="center"/>
          </w:tcPr>
          <w:p>
            <w:pPr>
              <w:tabs>
                <w:tab w:val="left" w:pos="8280"/>
              </w:tabs>
              <w:autoSpaceDE w:val="0"/>
              <w:autoSpaceDN w:val="0"/>
              <w:adjustRightInd w:val="0"/>
              <w:spacing w:line="360" w:lineRule="auto"/>
              <w:ind w:right="25"/>
              <w:rPr>
                <w:rFonts w:ascii="宋体" w:hAnsi="宋体"/>
                <w:color w:val="000000"/>
                <w:szCs w:val="21"/>
              </w:rPr>
            </w:pPr>
            <w:r>
              <w:rPr>
                <w:rFonts w:hint="eastAsia" w:ascii="宋体" w:hAnsi="宋体"/>
                <w:color w:val="000000"/>
                <w:szCs w:val="21"/>
              </w:rPr>
              <w:t>1</w:t>
            </w:r>
          </w:p>
        </w:tc>
        <w:tc>
          <w:tcPr>
            <w:tcW w:w="1305" w:type="dxa"/>
            <w:vAlign w:val="center"/>
          </w:tcPr>
          <w:p>
            <w:pPr>
              <w:tabs>
                <w:tab w:val="left" w:pos="8280"/>
              </w:tabs>
              <w:autoSpaceDE w:val="0"/>
              <w:autoSpaceDN w:val="0"/>
              <w:adjustRightInd w:val="0"/>
              <w:spacing w:line="360" w:lineRule="auto"/>
              <w:ind w:right="25"/>
              <w:jc w:val="center"/>
              <w:rPr>
                <w:rFonts w:ascii="宋体" w:hAnsi="宋体"/>
                <w:color w:val="000000"/>
                <w:szCs w:val="21"/>
              </w:rPr>
            </w:pPr>
          </w:p>
        </w:tc>
        <w:tc>
          <w:tcPr>
            <w:tcW w:w="978" w:type="dxa"/>
            <w:vAlign w:val="center"/>
          </w:tcPr>
          <w:p>
            <w:pPr>
              <w:tabs>
                <w:tab w:val="left" w:pos="8280"/>
              </w:tabs>
              <w:autoSpaceDE w:val="0"/>
              <w:autoSpaceDN w:val="0"/>
              <w:adjustRightInd w:val="0"/>
              <w:spacing w:line="360" w:lineRule="auto"/>
              <w:ind w:right="25"/>
              <w:jc w:val="center"/>
              <w:rPr>
                <w:rFonts w:ascii="宋体" w:hAnsi="宋体"/>
                <w:color w:val="000000"/>
                <w:szCs w:val="21"/>
              </w:rPr>
            </w:pPr>
          </w:p>
        </w:tc>
        <w:tc>
          <w:tcPr>
            <w:tcW w:w="979" w:type="dxa"/>
            <w:vAlign w:val="center"/>
          </w:tcPr>
          <w:p>
            <w:pPr>
              <w:tabs>
                <w:tab w:val="left" w:pos="8280"/>
              </w:tabs>
              <w:autoSpaceDE w:val="0"/>
              <w:autoSpaceDN w:val="0"/>
              <w:adjustRightInd w:val="0"/>
              <w:spacing w:line="360" w:lineRule="auto"/>
              <w:ind w:right="25"/>
              <w:jc w:val="center"/>
              <w:rPr>
                <w:rFonts w:ascii="宋体" w:hAnsi="宋体"/>
                <w:b/>
                <w:color w:val="000000"/>
                <w:szCs w:val="21"/>
              </w:rPr>
            </w:pPr>
          </w:p>
        </w:tc>
      </w:tr>
    </w:tbl>
    <w:p>
      <w:pPr>
        <w:spacing w:line="360" w:lineRule="auto"/>
        <w:ind w:left="480"/>
        <w:rPr>
          <w:rFonts w:ascii="宋体" w:hAnsi="宋体"/>
          <w:b/>
          <w:sz w:val="30"/>
        </w:rPr>
      </w:pPr>
    </w:p>
    <w:p>
      <w:pPr>
        <w:spacing w:line="360" w:lineRule="auto"/>
        <w:rPr>
          <w:rFonts w:ascii="宋体" w:hAnsi="宋体"/>
          <w:sz w:val="24"/>
        </w:rPr>
      </w:pPr>
      <w:r>
        <w:rPr>
          <w:rFonts w:hint="eastAsia" w:ascii="宋体" w:hAnsi="宋体"/>
          <w:b/>
          <w:szCs w:val="21"/>
        </w:rPr>
        <w:t>填报要求：</w:t>
      </w:r>
    </w:p>
    <w:p>
      <w:pPr>
        <w:spacing w:line="360" w:lineRule="auto"/>
        <w:ind w:firstLine="420" w:firstLineChars="200"/>
        <w:rPr>
          <w:rFonts w:ascii="宋体" w:hAnsi="宋体"/>
          <w:kern w:val="0"/>
          <w:szCs w:val="21"/>
        </w:rPr>
      </w:pPr>
      <w:r>
        <w:rPr>
          <w:rFonts w:hint="eastAsia" w:ascii="宋体" w:hAnsi="宋体"/>
          <w:kern w:val="0"/>
          <w:szCs w:val="21"/>
        </w:rPr>
        <w:t>1. 投标报价应是招标文件所确定的采购范围内全部工作内容的价格表现。投标报价包括项目实施费用及后续服务所需等其他一切费用。各供应商应根据采购人提供的技术资料、工程量清单，以及本项目实际情况和自身的综合实力，竞报报价。总报价以人民币元计，保留整数。</w:t>
      </w:r>
      <w:r>
        <w:rPr>
          <w:rFonts w:hint="eastAsia" w:ascii="宋体" w:hAnsi="宋体"/>
          <w:kern w:val="0"/>
          <w:szCs w:val="21"/>
          <w:lang w:val="zh-CN"/>
        </w:rPr>
        <w:t>全部费用已包含在开标一览表的投标总报价中。</w:t>
      </w:r>
    </w:p>
    <w:p>
      <w:pPr>
        <w:spacing w:line="360" w:lineRule="auto"/>
        <w:ind w:firstLine="420" w:firstLineChars="200"/>
        <w:rPr>
          <w:rFonts w:ascii="宋体" w:hAnsi="宋体"/>
          <w:b/>
          <w:i/>
          <w:szCs w:val="21"/>
          <w:u w:val="single"/>
        </w:rPr>
      </w:pPr>
      <w:r>
        <w:rPr>
          <w:rFonts w:hint="eastAsia" w:ascii="宋体" w:hAnsi="宋体"/>
          <w:kern w:val="0"/>
          <w:szCs w:val="21"/>
        </w:rPr>
        <w:t>2.报价一经涂改，应在涂改处加盖单位公章，或者由法定代表人或全权代表签字或盖章，否则其投标作无效标处理。</w:t>
      </w: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Lines="50" w:after="50" w:line="360" w:lineRule="auto"/>
        <w:rPr>
          <w:rFonts w:ascii="宋体" w:hAnsi="宋体"/>
          <w:b/>
          <w:sz w:val="28"/>
        </w:rPr>
        <w:sectPr>
          <w:footerReference r:id="rId7" w:type="first"/>
          <w:footerReference r:id="rId5" w:type="default"/>
          <w:footerReference r:id="rId6" w:type="even"/>
          <w:pgSz w:w="11906" w:h="16838"/>
          <w:pgMar w:top="1361" w:right="1361" w:bottom="1361" w:left="1361" w:header="851" w:footer="992" w:gutter="0"/>
          <w:cols w:space="425" w:num="1"/>
          <w:docGrid w:linePitch="312" w:charSpace="0"/>
        </w:sectPr>
      </w:pPr>
    </w:p>
    <w:p>
      <w:pPr>
        <w:pStyle w:val="4"/>
        <w:spacing w:before="0" w:after="0" w:line="360" w:lineRule="auto"/>
        <w:rPr>
          <w:rFonts w:hint="eastAsia"/>
          <w:kern w:val="0"/>
        </w:rPr>
      </w:pPr>
      <w:bookmarkStart w:id="58" w:name="_Toc19880441"/>
      <w:r>
        <w:rPr>
          <w:rFonts w:hint="eastAsia"/>
          <w:kern w:val="0"/>
        </w:rPr>
        <w:t>附件11</w:t>
      </w:r>
      <w:bookmarkEnd w:id="58"/>
    </w:p>
    <w:p>
      <w:pPr>
        <w:jc w:val="center"/>
        <w:rPr>
          <w:rFonts w:hint="eastAsia"/>
          <w:bCs/>
          <w:sz w:val="28"/>
          <w:szCs w:val="28"/>
        </w:rPr>
      </w:pPr>
      <w:r>
        <w:rPr>
          <w:rFonts w:hint="eastAsia"/>
          <w:bCs/>
          <w:sz w:val="28"/>
          <w:szCs w:val="28"/>
        </w:rPr>
        <w:t>国网三门县供电公司物流中心标准化仓库弱电及排烟系统改造项目</w:t>
      </w:r>
    </w:p>
    <w:p>
      <w:pPr>
        <w:pStyle w:val="2"/>
        <w:jc w:val="center"/>
      </w:pPr>
      <w:r>
        <w:rPr>
          <w:rFonts w:hint="eastAsia"/>
        </w:rPr>
        <w:t>报价明细表</w:t>
      </w:r>
    </w:p>
    <w:tbl>
      <w:tblPr>
        <w:tblStyle w:val="18"/>
        <w:tblW w:w="14260" w:type="dxa"/>
        <w:tblInd w:w="108" w:type="dxa"/>
        <w:tblLayout w:type="fixed"/>
        <w:tblCellMar>
          <w:top w:w="0" w:type="dxa"/>
          <w:left w:w="108" w:type="dxa"/>
          <w:bottom w:w="0" w:type="dxa"/>
          <w:right w:w="108" w:type="dxa"/>
        </w:tblCellMar>
      </w:tblPr>
      <w:tblGrid>
        <w:gridCol w:w="699"/>
        <w:gridCol w:w="1855"/>
        <w:gridCol w:w="6761"/>
        <w:gridCol w:w="655"/>
        <w:gridCol w:w="896"/>
        <w:gridCol w:w="1315"/>
        <w:gridCol w:w="1039"/>
        <w:gridCol w:w="1040"/>
      </w:tblGrid>
      <w:tr>
        <w:tblPrEx>
          <w:tblLayout w:type="fixed"/>
          <w:tblCellMar>
            <w:top w:w="0" w:type="dxa"/>
            <w:left w:w="108" w:type="dxa"/>
            <w:bottom w:w="0" w:type="dxa"/>
            <w:right w:w="108" w:type="dxa"/>
          </w:tblCellMar>
        </w:tblPrEx>
        <w:trPr>
          <w:trHeight w:val="452" w:hRule="atLeast"/>
        </w:trPr>
        <w:tc>
          <w:tcPr>
            <w:tcW w:w="14260" w:type="dxa"/>
            <w:gridSpan w:val="8"/>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一、综合布线系统</w:t>
            </w:r>
          </w:p>
        </w:tc>
      </w:tr>
      <w:tr>
        <w:tblPrEx>
          <w:tblLayout w:type="fixed"/>
          <w:tblCellMar>
            <w:top w:w="0" w:type="dxa"/>
            <w:left w:w="108" w:type="dxa"/>
            <w:bottom w:w="0" w:type="dxa"/>
            <w:right w:w="108" w:type="dxa"/>
          </w:tblCellMar>
        </w:tblPrEx>
        <w:trPr>
          <w:trHeight w:val="465" w:hRule="atLeast"/>
        </w:trPr>
        <w:tc>
          <w:tcPr>
            <w:tcW w:w="699" w:type="dxa"/>
            <w:tcBorders>
              <w:top w:val="nil"/>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855" w:type="dxa"/>
            <w:tcBorders>
              <w:top w:val="nil"/>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761" w:type="dxa"/>
            <w:tcBorders>
              <w:top w:val="nil"/>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参数要求</w:t>
            </w:r>
          </w:p>
        </w:tc>
        <w:tc>
          <w:tcPr>
            <w:tcW w:w="655" w:type="dxa"/>
            <w:tcBorders>
              <w:top w:val="nil"/>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896" w:type="dxa"/>
            <w:tcBorders>
              <w:top w:val="nil"/>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1315" w:type="dxa"/>
            <w:tcBorders>
              <w:top w:val="nil"/>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品牌 </w:t>
            </w:r>
          </w:p>
        </w:tc>
        <w:tc>
          <w:tcPr>
            <w:tcW w:w="1039" w:type="dxa"/>
            <w:tcBorders>
              <w:top w:val="nil"/>
              <w:left w:val="single" w:color="000000" w:sz="4" w:space="0"/>
              <w:bottom w:val="nil"/>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单价（元）</w:t>
            </w:r>
          </w:p>
        </w:tc>
        <w:tc>
          <w:tcPr>
            <w:tcW w:w="1040" w:type="dxa"/>
            <w:tcBorders>
              <w:top w:val="nil"/>
              <w:left w:val="single" w:color="000000" w:sz="4" w:space="0"/>
              <w:bottom w:val="nil"/>
              <w:right w:val="single" w:color="000000"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合计（元）</w:t>
            </w:r>
          </w:p>
        </w:tc>
      </w:tr>
      <w:tr>
        <w:tblPrEx>
          <w:tblLayout w:type="fixed"/>
          <w:tblCellMar>
            <w:top w:w="0" w:type="dxa"/>
            <w:left w:w="108" w:type="dxa"/>
            <w:bottom w:w="0" w:type="dxa"/>
            <w:right w:w="108" w:type="dxa"/>
          </w:tblCellMar>
        </w:tblPrEx>
        <w:trPr>
          <w:trHeight w:val="760"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配管</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1.名称:电线管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2.规格:KBG 25</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3.配置形式:暗敷</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米</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506.6</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760"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2</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桥架</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1.名称:钢制槽式桥架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2.规格:150*75</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3.安装部位:室内</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米</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70.20</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46"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3</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铁构件</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1.名称:桥架支撑架安装</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kg</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93.60</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814"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4</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网线</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★1.名称:六类非屏蔽双绞线 cat6</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2.线缆对数:4</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3.敷设方式:管内及桥架内敷设</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米</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1530</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827"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5</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配线</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1.名称:铜芯聚氯乙烯绝缘聚氯乙烯护套软线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2.规格:RVV-2*1.0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3.配线部位:管内及桥架内敷设</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米</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608.60</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827"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6</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信息插座</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1.名称:六类双口网络插座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2.安装方式:离地0.3米安装暗装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3.底盒材质、规格:钢制接线盒</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个</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9</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827"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7</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信息插座</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1.名称:六类单口网络插座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2.安装方式:离地0.3米安装暗装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3.底盒材质、规格:钢制接线盒</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个</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88"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8</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信息插座</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1、名称:六类网络地插</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2、安装方式：地面安装暗装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3、底盒材质、规格：钢制接线盒</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个</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7</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79"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9</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电话配线架</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1.名称:110机柜式配线架（100对）</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个</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79"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10</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跳线</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1.名称:六类跳线（2米）</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条</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78</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79"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11</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网线配线架</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1.名称:24口六类屏蔽配线架</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个</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2</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79" w:hRule="atLeast"/>
        </w:trPr>
        <w:tc>
          <w:tcPr>
            <w:tcW w:w="69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12</w:t>
            </w:r>
          </w:p>
        </w:tc>
        <w:tc>
          <w:tcPr>
            <w:tcW w:w="185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理线器</w:t>
            </w:r>
          </w:p>
        </w:tc>
        <w:tc>
          <w:tcPr>
            <w:tcW w:w="67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24口理线架</w:t>
            </w:r>
          </w:p>
        </w:tc>
        <w:tc>
          <w:tcPr>
            <w:tcW w:w="65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个</w:t>
            </w:r>
          </w:p>
        </w:tc>
        <w:tc>
          <w:tcPr>
            <w:tcW w:w="89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4</w:t>
            </w:r>
          </w:p>
        </w:tc>
        <w:tc>
          <w:tcPr>
            <w:tcW w:w="131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auto" w:sz="4" w:space="0"/>
              <w:left w:val="nil"/>
              <w:bottom w:val="single" w:color="auto" w:sz="4" w:space="0"/>
              <w:right w:val="single" w:color="auto"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261" w:hRule="atLeast"/>
        </w:trPr>
        <w:tc>
          <w:tcPr>
            <w:tcW w:w="69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13</w:t>
            </w:r>
          </w:p>
        </w:tc>
        <w:tc>
          <w:tcPr>
            <w:tcW w:w="185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机柜、机架</w:t>
            </w:r>
          </w:p>
        </w:tc>
        <w:tc>
          <w:tcPr>
            <w:tcW w:w="676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名称:机柜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规格、型号:40U 600*800*2000(前后网孔门)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SPCC优质冷扎钢板制作;厚度:方孔条2.0mm,托盘2.0mm,安装梁1.5m,其他1.2mm;表面处理:脱脂、酸洗、磷化、静电喷塑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外观高贵典雅,工艺精湛、尺寸精密,媲美国际最高档网络服务器机柜,彰显优质机房工程形象</w:t>
            </w:r>
          </w:p>
        </w:tc>
        <w:tc>
          <w:tcPr>
            <w:tcW w:w="6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p>
        </w:tc>
        <w:tc>
          <w:tcPr>
            <w:tcW w:w="103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nil"/>
              <w:left w:val="nil"/>
              <w:bottom w:val="single" w:color="auto" w:sz="4" w:space="0"/>
              <w:right w:val="single" w:color="auto"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59" w:hRule="atLeast"/>
        </w:trPr>
        <w:tc>
          <w:tcPr>
            <w:tcW w:w="14260" w:type="dxa"/>
            <w:gridSpan w:val="8"/>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二、网络系统</w:t>
            </w:r>
          </w:p>
        </w:tc>
      </w:tr>
      <w:tr>
        <w:tblPrEx>
          <w:tblLayout w:type="fixed"/>
          <w:tblCellMar>
            <w:top w:w="0" w:type="dxa"/>
            <w:left w:w="108" w:type="dxa"/>
            <w:bottom w:w="0" w:type="dxa"/>
            <w:right w:w="108" w:type="dxa"/>
          </w:tblCellMar>
        </w:tblPrEx>
        <w:trPr>
          <w:trHeight w:val="559"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8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参数要求</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131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品牌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单价（元）</w:t>
            </w:r>
          </w:p>
        </w:tc>
        <w:tc>
          <w:tcPr>
            <w:tcW w:w="1040"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合计（元）</w:t>
            </w:r>
          </w:p>
        </w:tc>
      </w:tr>
      <w:tr>
        <w:tblPrEx>
          <w:tblLayout w:type="fixed"/>
          <w:tblCellMar>
            <w:top w:w="0" w:type="dxa"/>
            <w:left w:w="108" w:type="dxa"/>
            <w:bottom w:w="0" w:type="dxa"/>
            <w:right w:w="108" w:type="dxa"/>
          </w:tblCellMar>
        </w:tblPrEx>
        <w:trPr>
          <w:trHeight w:val="921" w:hRule="atLeast"/>
        </w:trPr>
        <w:tc>
          <w:tcPr>
            <w:tcW w:w="69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85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配管</w:t>
            </w:r>
          </w:p>
        </w:tc>
        <w:tc>
          <w:tcPr>
            <w:tcW w:w="67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1.名称:电线管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2.规格:KBG 25</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3.配置形式:暗敷</w:t>
            </w:r>
          </w:p>
        </w:tc>
        <w:tc>
          <w:tcPr>
            <w:tcW w:w="65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米</w:t>
            </w:r>
          </w:p>
        </w:tc>
        <w:tc>
          <w:tcPr>
            <w:tcW w:w="89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131.20</w:t>
            </w:r>
          </w:p>
        </w:tc>
        <w:tc>
          <w:tcPr>
            <w:tcW w:w="131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auto" w:sz="4" w:space="0"/>
              <w:left w:val="nil"/>
              <w:bottom w:val="single" w:color="auto" w:sz="4" w:space="0"/>
              <w:right w:val="single" w:color="auto"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21" w:hRule="atLeast"/>
        </w:trPr>
        <w:tc>
          <w:tcPr>
            <w:tcW w:w="69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2</w:t>
            </w:r>
          </w:p>
        </w:tc>
        <w:tc>
          <w:tcPr>
            <w:tcW w:w="185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双绞线缆</w:t>
            </w:r>
          </w:p>
        </w:tc>
        <w:tc>
          <w:tcPr>
            <w:tcW w:w="676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1.名称:六类非屏蔽双绞线 cat6</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2.线缆对数:4</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3.敷设方式:管内及桥架内敷设</w:t>
            </w:r>
          </w:p>
        </w:tc>
        <w:tc>
          <w:tcPr>
            <w:tcW w:w="6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米</w:t>
            </w:r>
          </w:p>
        </w:tc>
        <w:tc>
          <w:tcPr>
            <w:tcW w:w="8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384.00</w:t>
            </w:r>
          </w:p>
        </w:tc>
        <w:tc>
          <w:tcPr>
            <w:tcW w:w="13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nil"/>
              <w:left w:val="nil"/>
              <w:bottom w:val="single" w:color="auto" w:sz="4" w:space="0"/>
              <w:right w:val="single" w:color="auto"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21" w:hRule="atLeast"/>
        </w:trPr>
        <w:tc>
          <w:tcPr>
            <w:tcW w:w="69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3</w:t>
            </w:r>
          </w:p>
        </w:tc>
        <w:tc>
          <w:tcPr>
            <w:tcW w:w="185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配线</w:t>
            </w:r>
          </w:p>
        </w:tc>
        <w:tc>
          <w:tcPr>
            <w:tcW w:w="676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1.名称:铜芯聚氯乙烯绝缘聚氯乙烯护套软线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2.规格:RVV-2*1.0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3.配线部位:管内及桥架内敷设</w:t>
            </w:r>
          </w:p>
        </w:tc>
        <w:tc>
          <w:tcPr>
            <w:tcW w:w="6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米</w:t>
            </w:r>
          </w:p>
        </w:tc>
        <w:tc>
          <w:tcPr>
            <w:tcW w:w="8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608.60</w:t>
            </w:r>
          </w:p>
        </w:tc>
        <w:tc>
          <w:tcPr>
            <w:tcW w:w="13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nil"/>
              <w:left w:val="nil"/>
              <w:bottom w:val="single" w:color="auto" w:sz="4" w:space="0"/>
              <w:right w:val="single" w:color="auto"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21" w:hRule="atLeast"/>
        </w:trPr>
        <w:tc>
          <w:tcPr>
            <w:tcW w:w="69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4</w:t>
            </w:r>
          </w:p>
        </w:tc>
        <w:tc>
          <w:tcPr>
            <w:tcW w:w="185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配线</w:t>
            </w:r>
          </w:p>
        </w:tc>
        <w:tc>
          <w:tcPr>
            <w:tcW w:w="676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1.名称:铜芯聚氯乙烯绝缘聚氯乙烯护套软线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2.规格:RVV-4*1.0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3.配线部位:管内及桥架内敷设</w:t>
            </w:r>
          </w:p>
        </w:tc>
        <w:tc>
          <w:tcPr>
            <w:tcW w:w="6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米</w:t>
            </w:r>
          </w:p>
        </w:tc>
        <w:tc>
          <w:tcPr>
            <w:tcW w:w="8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59.40</w:t>
            </w:r>
          </w:p>
        </w:tc>
        <w:tc>
          <w:tcPr>
            <w:tcW w:w="13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nil"/>
              <w:left w:val="nil"/>
              <w:bottom w:val="single" w:color="auto" w:sz="4" w:space="0"/>
              <w:right w:val="single" w:color="auto"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21" w:hRule="atLeast"/>
        </w:trPr>
        <w:tc>
          <w:tcPr>
            <w:tcW w:w="69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5</w:t>
            </w:r>
          </w:p>
        </w:tc>
        <w:tc>
          <w:tcPr>
            <w:tcW w:w="185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配线</w:t>
            </w:r>
          </w:p>
        </w:tc>
        <w:tc>
          <w:tcPr>
            <w:tcW w:w="676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1.名称:铜芯聚氯乙烯绝缘聚氯乙烯护套软线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2.规格:RVV-3*1.0</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3.配线部位:管内及桥架内敷设</w:t>
            </w:r>
          </w:p>
        </w:tc>
        <w:tc>
          <w:tcPr>
            <w:tcW w:w="6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米</w:t>
            </w:r>
          </w:p>
        </w:tc>
        <w:tc>
          <w:tcPr>
            <w:tcW w:w="8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98.30</w:t>
            </w:r>
          </w:p>
        </w:tc>
        <w:tc>
          <w:tcPr>
            <w:tcW w:w="13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nil"/>
              <w:left w:val="nil"/>
              <w:bottom w:val="single" w:color="auto" w:sz="4" w:space="0"/>
              <w:right w:val="single" w:color="auto"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739" w:hRule="atLeast"/>
        </w:trPr>
        <w:tc>
          <w:tcPr>
            <w:tcW w:w="69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6</w:t>
            </w:r>
          </w:p>
        </w:tc>
        <w:tc>
          <w:tcPr>
            <w:tcW w:w="185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交换机</w:t>
            </w:r>
          </w:p>
        </w:tc>
        <w:tc>
          <w:tcPr>
            <w:tcW w:w="676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1.名称:交换机-固化48个10/100/1000Base-T以太网端口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4个1000Base-X以太网端口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交换容量256Gbps、包转发率132Mpps、</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环境要求运行环境温度：0℃～40℃ 存储环境温度：-40℃～70℃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运行环境湿度：5%～95%（非凝结） 存储环境湿度：5%～95%（非凝结）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支持 IEEE 802.3x 流控（全双工）流量控制</w:t>
            </w:r>
          </w:p>
        </w:tc>
        <w:tc>
          <w:tcPr>
            <w:tcW w:w="6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p>
        </w:tc>
        <w:tc>
          <w:tcPr>
            <w:tcW w:w="103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nil"/>
              <w:left w:val="nil"/>
              <w:bottom w:val="single" w:color="auto" w:sz="4" w:space="0"/>
              <w:right w:val="single" w:color="auto"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149" w:hRule="atLeast"/>
        </w:trPr>
        <w:tc>
          <w:tcPr>
            <w:tcW w:w="69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7</w:t>
            </w:r>
          </w:p>
        </w:tc>
        <w:tc>
          <w:tcPr>
            <w:tcW w:w="185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ascii="宋体" w:hAnsi="宋体" w:eastAsia="宋体" w:cs="宋体"/>
                <w:color w:val="000000"/>
                <w:kern w:val="0"/>
                <w:sz w:val="18"/>
                <w:szCs w:val="18"/>
              </w:rPr>
              <w:t>POE</w:t>
            </w:r>
            <w:r>
              <w:rPr>
                <w:rFonts w:hint="eastAsia" w:ascii="宋体" w:hAnsi="宋体" w:eastAsia="宋体" w:cs="宋体"/>
                <w:color w:val="000000"/>
                <w:kern w:val="0"/>
                <w:sz w:val="18"/>
                <w:szCs w:val="18"/>
              </w:rPr>
              <w:t>注入器</w:t>
            </w:r>
          </w:p>
        </w:tc>
        <w:tc>
          <w:tcPr>
            <w:tcW w:w="676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1.名称:poe注入器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2.类别:24个10/100/1000M自适应电口，4个千兆SFP光口，1-24口支持PoE+/PoE。含千兆单芯光模块1对。 </w:t>
            </w:r>
          </w:p>
        </w:tc>
        <w:tc>
          <w:tcPr>
            <w:tcW w:w="6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p>
        </w:tc>
        <w:tc>
          <w:tcPr>
            <w:tcW w:w="103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nil"/>
              <w:left w:val="nil"/>
              <w:bottom w:val="single" w:color="auto" w:sz="4" w:space="0"/>
              <w:right w:val="single" w:color="auto"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243" w:hRule="atLeast"/>
        </w:trPr>
        <w:tc>
          <w:tcPr>
            <w:tcW w:w="69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8</w:t>
            </w:r>
          </w:p>
        </w:tc>
        <w:tc>
          <w:tcPr>
            <w:tcW w:w="185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无线控制器</w:t>
            </w:r>
          </w:p>
        </w:tc>
        <w:tc>
          <w:tcPr>
            <w:tcW w:w="676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1.名称:无线控制器2.类别:下一代无线控制器，自带8个千兆电口，2个SFP复用口；默认支持32个AP，可通过扩展License最大控制224个AP；支持墙面式AP特性，墙面式AP最大可控数量翻倍，标配一个电源，不可扩展</w:t>
            </w:r>
          </w:p>
        </w:tc>
        <w:tc>
          <w:tcPr>
            <w:tcW w:w="6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p>
        </w:tc>
        <w:tc>
          <w:tcPr>
            <w:tcW w:w="103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nil"/>
              <w:left w:val="nil"/>
              <w:bottom w:val="single" w:color="auto" w:sz="4" w:space="0"/>
              <w:right w:val="single" w:color="auto"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855" w:hRule="atLeast"/>
        </w:trPr>
        <w:tc>
          <w:tcPr>
            <w:tcW w:w="69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9</w:t>
            </w:r>
          </w:p>
        </w:tc>
        <w:tc>
          <w:tcPr>
            <w:tcW w:w="185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无线AP</w:t>
            </w:r>
          </w:p>
        </w:tc>
        <w:tc>
          <w:tcPr>
            <w:tcW w:w="676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1.名称:无线AP</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2.类别:室内放装型双频2.4GHz和5GHz，支持2条空间流，支持千兆接入，整机最大接入用户数256，可支持802.11a/b/g/n和802.11ac同时工作，★支持802.11ac Wave2特性， PoE和本地供电，（PoE和本地电源适配器需单独选购）丰富的接口指示灯，提供橙、绿、蓝等不同的工作状态显示。MTBF&gt;250000H</w:t>
            </w:r>
          </w:p>
        </w:tc>
        <w:tc>
          <w:tcPr>
            <w:tcW w:w="6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11</w:t>
            </w:r>
          </w:p>
        </w:tc>
        <w:tc>
          <w:tcPr>
            <w:tcW w:w="13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p>
        </w:tc>
        <w:tc>
          <w:tcPr>
            <w:tcW w:w="103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nil"/>
              <w:left w:val="nil"/>
              <w:bottom w:val="single" w:color="auto" w:sz="4" w:space="0"/>
              <w:right w:val="single" w:color="auto"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59" w:hRule="atLeast"/>
        </w:trPr>
        <w:tc>
          <w:tcPr>
            <w:tcW w:w="14260" w:type="dxa"/>
            <w:gridSpan w:val="8"/>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三、监控系统</w:t>
            </w:r>
          </w:p>
        </w:tc>
      </w:tr>
      <w:tr>
        <w:tblPrEx>
          <w:tblLayout w:type="fixed"/>
          <w:tblCellMar>
            <w:top w:w="0" w:type="dxa"/>
            <w:left w:w="108" w:type="dxa"/>
            <w:bottom w:w="0" w:type="dxa"/>
            <w:right w:w="108" w:type="dxa"/>
          </w:tblCellMar>
        </w:tblPrEx>
        <w:trPr>
          <w:trHeight w:val="559" w:hRule="atLeast"/>
        </w:trPr>
        <w:tc>
          <w:tcPr>
            <w:tcW w:w="699" w:type="dxa"/>
            <w:tcBorders>
              <w:top w:val="nil"/>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855" w:type="dxa"/>
            <w:tcBorders>
              <w:top w:val="nil"/>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761" w:type="dxa"/>
            <w:tcBorders>
              <w:top w:val="nil"/>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参数要求</w:t>
            </w:r>
          </w:p>
        </w:tc>
        <w:tc>
          <w:tcPr>
            <w:tcW w:w="655" w:type="dxa"/>
            <w:tcBorders>
              <w:top w:val="nil"/>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896" w:type="dxa"/>
            <w:tcBorders>
              <w:top w:val="nil"/>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1315" w:type="dxa"/>
            <w:tcBorders>
              <w:top w:val="nil"/>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品牌 </w:t>
            </w:r>
          </w:p>
        </w:tc>
        <w:tc>
          <w:tcPr>
            <w:tcW w:w="1039" w:type="dxa"/>
            <w:tcBorders>
              <w:top w:val="nil"/>
              <w:left w:val="single" w:color="000000" w:sz="4" w:space="0"/>
              <w:bottom w:val="nil"/>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单价（元）</w:t>
            </w:r>
          </w:p>
        </w:tc>
        <w:tc>
          <w:tcPr>
            <w:tcW w:w="1040" w:type="dxa"/>
            <w:tcBorders>
              <w:top w:val="nil"/>
              <w:left w:val="single" w:color="000000" w:sz="4" w:space="0"/>
              <w:bottom w:val="nil"/>
              <w:right w:val="single" w:color="000000"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合计（元）</w:t>
            </w:r>
          </w:p>
        </w:tc>
      </w:tr>
      <w:tr>
        <w:tblPrEx>
          <w:tblLayout w:type="fixed"/>
          <w:tblCellMar>
            <w:top w:w="0" w:type="dxa"/>
            <w:left w:w="108" w:type="dxa"/>
            <w:bottom w:w="0" w:type="dxa"/>
            <w:right w:w="108" w:type="dxa"/>
          </w:tblCellMar>
        </w:tblPrEx>
        <w:trPr>
          <w:trHeight w:val="801"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配管</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1.名称:电线管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2.规格:KBG 25</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3.配置形式:暗敷</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米</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131.20</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801"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2</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双绞线缆</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1.名称:六类非屏蔽双绞线 cat6</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2.线缆对数:4</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3.敷设方式:管内及桥架内敷设</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米</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1421.90</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801"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26</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配线</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1.名称:铜芯聚氯乙烯绝缘聚氯乙烯护套软线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2.规格:RVV-2*1.0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3.配线部位:管内及桥架内敷设</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米</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1421.90</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765"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27</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枪式摄像机</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500万星光级1/2.7”CMOS ICR红外阵列筒型网络摄像机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具有500万像素CMOS传感器，支持三码流技术，可同时输出三路码流，主码流最高2560x1920@12.5fps，第三码流最大1920x1080@30fps，子码流704x576@30fps，在2560x1920分辨率下，清晰度不小于1900TVL，支持H.264、H.265、MJPEG视频编码格式，且具有HighProfile编码能力，需支持8行字符显示，字体颜色可设置，需具有图片叠加到视频画面功能，具备人脸检测、区域入侵检测、越界检测、虚焦检测、进入区域、离开区域、徘徊、人员聚集、逆行、场景变更、虚焦侦测、音频异常等功能，支持8行字符显示，字体颜色可设置，需具有图片叠加到视频画面功能，具有黑白名单功能，其中白名单可添加不小于10个IP地址，电源供应 DC12V±25% / PoE(802.3af),音频接口:1路音频输入(Line in),1路音频输出(Line out)接口(插线式接口) ,内置麦克风，报警接口 :1路报警输入,1路报警输出（三极管:超过30毫安建议加继电器），红外补光距离不小于80米</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最低照度彩色：0.0008lx，黑白:0.0001lx，灰度等级不小于11级、为保证整体系统稳定性，投标产品必须与录像机为同一品牌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★同一静止场景相同图像质量下，设备在H.265编码方式时，开启智能编码功能和不开启智能编码相比，码率节约1/2（需提供第三方检测报告加盖原厂公章）</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27</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348"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28</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半球摄像机</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500万星光级1/2.7”CMOS ICR日夜型半球型网络摄像机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具有500万像素CMOS传感器，支持三码流技术，可同时输出三路码流，主码流最高2560x1920@12.5fps，第三码流最大1920x1080@30fps，子码流704x576@30fps，在2560x1920分辨率下，清晰度不小于1900TVL，支持H.264、H.265、MJPEG视频编码格式，且具有HighProfile编码能力，需支持8行字符显示，字体颜色可设置，需具有图片叠加到视频画面功能，具备人脸检测、区域入侵检测、越界检测、虚焦检测、进入区域、离开区域、徘徊、人员聚集、逆行、场景变更、虚焦侦测、音频异常等功能，支持8行字符显示，字体颜色可设置，需具有图片叠加到视频画面功能，具有黑白名单功能，其中白名单可添加不小于10个IP地址，电源供应 DC12V±25% / PoE(802.3af),音频接口:1路音频输入(Line in),1路音频输出(Line out)接口(插线式接口) ,内置麦克风，报警接口 :1路报警输入,1路报警输出（三极管:超过30毫安建议加继电器），红外补光距离不小于40米</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最低照度彩色：0.001lx，黑白:0.0001lx，灰度等级不小于11级、为保证整体系统稳定性，投标产品必须与录像机为同一品牌</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★同一静止场景相同图像质量下，设备在H.265编码方式时，开启智能编码功能和不开启智能编码相比，码率节约1/2（需提供第三方检测报告加盖原厂公章）</w:t>
            </w:r>
            <w:r>
              <w:rPr>
                <w:rFonts w:hint="eastAsia" w:ascii="宋体" w:hAnsi="宋体" w:eastAsia="宋体" w:cs="宋体"/>
                <w:color w:val="000000"/>
                <w:kern w:val="0"/>
                <w:sz w:val="18"/>
                <w:szCs w:val="18"/>
              </w:rPr>
              <w:br w:type="page"/>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6</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556"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29</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监控专用监视器</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窄边55寸液晶监视器，金属外观边框厚度：11.8mm</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显示：LED背光；分辨率1920*1080；亮度450cd/㎡，对比度：3500:1，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裸机尺寸(W×L×D)(mm)：1237.2×708×75.74</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接口：HDMI输入*1、VGA输入*1、DVI输入*1、BNC输入*1、BNC输出*1、Audio输入*1、USB*1</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★为保证产品具备良好的防护性和稳定性，需提供封面首页具有CNAS标识的抗强光干扰、漏光度、跌落和电磁抗扰度检测报告.</w:t>
            </w:r>
          </w:p>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为保证整体系统稳定性，建议投标产品与摄像机、录像机为同一品牌。支持定时开关机：支持按周绘制开关机时间段，或手动输入开关机时间点两种定时设置方式；用户通过客户端设置开关机定时信息,，设备到时间执行开机或关机动作，支持两种时间设置方式；以周为单位，每天可以设置多个开机和关机时间；可以设置特定年月日时分秒，做多可设置8个；开关机最小设置时间间隔30s；支持倒计时关机功能。监视器支持U盘点播，内置MPEG、JPEG和RealMedia解码器，支持点播U盘、移动硬盘中的视频、图片、音频或文本资源。视频：支持TS、3g2、avi、mkv、mov、mp4、mpg、tp等文件。音频：支持mp3、wma、m4a、wav、aac等文件。图片：支持jpg、bmp、png等文件。文本：支持txt文件</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2</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017"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30</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硬盘录像机</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硬件规格：</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标准机架式16盘位</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2个HDMI，2个VGA,HDMI+VGA组内同源可满配6TB硬盘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2个千兆网口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2个USB2.0接口、1个USB3.0接口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1个eSATA接口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支持RAID0、1、5、10，支持全局热备盘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软件性能：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输入带宽：大于320M</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64路H.264、H.265混合接入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最大支持16×1080P解码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支持H.265、H.264解码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Smart 2.0/整机热备/ANR/智能检索/智能回放/车牌检索/人脸检索/热度图/客流量统计/分时段回放/超高倍速回放/双系统备份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支持接入双目、三目、800w、1600w球型鹰眼、2400w环型鹰眼相机，3200w相机，并可将视频画面以多画面分割方式显示，可自定义画面布局</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支持查看硬盘健康状态信息，包括温度，震动，链路稳定性。并支持状态信息预警显示；支持查看最近7天（168小时）的硬盘状态显示信息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支持本地预览权限的配置，设置权限后的通道只有登录后才会出现预览画面；支持远程预览加密，只有输入密钥才能解开视频支持重要录像片段秒级检测，秒级检索录像文件中的人员、车辆、人体等活动目标，并以弹窗形式来展示活动目标关联的录像片段</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支持图片文件秒级检索，秒级提取硬盘中人脸、车辆、人体等图片文件，用户可快速浏览全部通道中的图片文件</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40"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31</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硬盘</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4TB监控级硬盘\3.5英寸 4TB 64M SATA3</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个</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ascii="宋体" w:hAnsi="宋体" w:eastAsia="宋体" w:cs="宋体"/>
                <w:color w:val="000000"/>
                <w:kern w:val="0"/>
                <w:sz w:val="18"/>
                <w:szCs w:val="18"/>
              </w:rPr>
              <w:t>16</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513"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32</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监控接入POE交换机</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配置：可用千兆电接口数量≥24，非复用千兆光接口数量≥4</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管理口：支持独立的console管理串口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★提供工信部入网证及CCC证书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交换容量≥336Gbps，转发性能≥96Mpps</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POE：支持自适应802.3af/at供电标准，支持POE最大输出功率≥370W</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MAC地址表≥16K，支持MAC地址学习数目限制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为保证整体系统稳定性，建议投标产品与摄像机、录像机为同一品牌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聚合：支持链路聚合，支持VLAN，路由功能：支持IPv4/IPv6静态路由，支持RIP路由协议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支持防广播风暴，支持IGMP Snooping，支持QOS，网管：支持SNMP V1/V2/V3，支持通过telnet方式进行配置和管理，支持用户的分级分权控制，支持用户访问控制</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2</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261"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33</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机柜、机架</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名称:机柜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规格、型号:40U 600*800*2000(前后网孔门)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SPCC优质冷扎钢板制作;厚度:方孔条2.0mm,托盘2.0mm,安装梁1.5m,其他1.2mm;表面处理:脱脂、酸洗、磷化、静电喷塑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外观高贵典雅,工艺精湛、尺寸精密,媲美国际最高档网络服务器机柜,彰显优质机房工程形象</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26"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34</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控制电脑</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1.名称:商用电脑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2.类别:I5/4G/1000G/19寸</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26" w:hRule="atLeast"/>
        </w:trPr>
        <w:tc>
          <w:tcPr>
            <w:tcW w:w="69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35</w:t>
            </w:r>
          </w:p>
        </w:tc>
        <w:tc>
          <w:tcPr>
            <w:tcW w:w="185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电源</w:t>
            </w:r>
          </w:p>
        </w:tc>
        <w:tc>
          <w:tcPr>
            <w:tcW w:w="67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1.名称:电源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2.规格、型号:12V 10A</w:t>
            </w:r>
          </w:p>
        </w:tc>
        <w:tc>
          <w:tcPr>
            <w:tcW w:w="65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4</w:t>
            </w:r>
          </w:p>
        </w:tc>
        <w:tc>
          <w:tcPr>
            <w:tcW w:w="1315" w:type="dxa"/>
            <w:tcBorders>
              <w:top w:val="single" w:color="auto" w:sz="4" w:space="0"/>
              <w:left w:val="nil"/>
              <w:bottom w:val="single" w:color="auto" w:sz="4" w:space="0"/>
              <w:right w:val="single" w:color="auto" w:sz="4" w:space="0"/>
            </w:tcBorders>
            <w:shd w:val="clear" w:color="000000" w:fill="FFFFFF"/>
            <w:noWrap/>
            <w:vAlign w:val="center"/>
          </w:tcPr>
          <w:p>
            <w:pPr>
              <w:widowControl/>
              <w:rPr>
                <w:rFonts w:ascii="宋体" w:hAnsi="宋体" w:cs="宋体"/>
                <w:color w:val="000000"/>
                <w:kern w:val="0"/>
                <w:sz w:val="18"/>
                <w:szCs w:val="18"/>
              </w:rPr>
            </w:pPr>
          </w:p>
        </w:tc>
        <w:tc>
          <w:tcPr>
            <w:tcW w:w="103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auto" w:sz="4" w:space="0"/>
              <w:left w:val="nil"/>
              <w:bottom w:val="single" w:color="auto" w:sz="4" w:space="0"/>
              <w:right w:val="single" w:color="auto"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40" w:hRule="atLeast"/>
        </w:trPr>
        <w:tc>
          <w:tcPr>
            <w:tcW w:w="14260" w:type="dxa"/>
            <w:gridSpan w:val="8"/>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四、广播系统</w:t>
            </w:r>
          </w:p>
        </w:tc>
      </w:tr>
      <w:tr>
        <w:tblPrEx>
          <w:tblLayout w:type="fixed"/>
          <w:tblCellMar>
            <w:top w:w="0" w:type="dxa"/>
            <w:left w:w="108" w:type="dxa"/>
            <w:bottom w:w="0" w:type="dxa"/>
            <w:right w:w="108" w:type="dxa"/>
          </w:tblCellMar>
        </w:tblPrEx>
        <w:trPr>
          <w:trHeight w:val="640" w:hRule="atLeast"/>
        </w:trPr>
        <w:tc>
          <w:tcPr>
            <w:tcW w:w="699" w:type="dxa"/>
            <w:tcBorders>
              <w:top w:val="nil"/>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855" w:type="dxa"/>
            <w:tcBorders>
              <w:top w:val="nil"/>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761" w:type="dxa"/>
            <w:tcBorders>
              <w:top w:val="nil"/>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参数要求</w:t>
            </w:r>
          </w:p>
        </w:tc>
        <w:tc>
          <w:tcPr>
            <w:tcW w:w="655" w:type="dxa"/>
            <w:tcBorders>
              <w:top w:val="nil"/>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896" w:type="dxa"/>
            <w:tcBorders>
              <w:top w:val="nil"/>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1315" w:type="dxa"/>
            <w:tcBorders>
              <w:top w:val="nil"/>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品牌 </w:t>
            </w:r>
          </w:p>
        </w:tc>
        <w:tc>
          <w:tcPr>
            <w:tcW w:w="1039" w:type="dxa"/>
            <w:tcBorders>
              <w:top w:val="nil"/>
              <w:left w:val="single" w:color="000000" w:sz="4" w:space="0"/>
              <w:bottom w:val="nil"/>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单价（元）</w:t>
            </w:r>
          </w:p>
        </w:tc>
        <w:tc>
          <w:tcPr>
            <w:tcW w:w="1040" w:type="dxa"/>
            <w:tcBorders>
              <w:top w:val="nil"/>
              <w:left w:val="single" w:color="000000" w:sz="4" w:space="0"/>
              <w:bottom w:val="nil"/>
              <w:right w:val="single" w:color="000000"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合计（元）</w:t>
            </w:r>
          </w:p>
        </w:tc>
      </w:tr>
      <w:tr>
        <w:tblPrEx>
          <w:tblLayout w:type="fixed"/>
          <w:tblCellMar>
            <w:top w:w="0" w:type="dxa"/>
            <w:left w:w="108" w:type="dxa"/>
            <w:bottom w:w="0" w:type="dxa"/>
            <w:right w:w="108" w:type="dxa"/>
          </w:tblCellMar>
        </w:tblPrEx>
        <w:trPr>
          <w:trHeight w:val="635"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配管</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1.名称:电线管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2.规格:KBG 20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3.配置形式:暗敷</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米</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384.30</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cs="宋体"/>
                <w:color w:val="000000"/>
                <w:kern w:val="0"/>
                <w:sz w:val="18"/>
                <w:szCs w:val="18"/>
              </w:rPr>
            </w:pP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35"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2</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配线</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1.名称:铜芯聚氯乙烯绝缘聚氯乙烯护套软线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2.规格:RVS-2*1.5</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3.配线部位:管内及桥架内敷设</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米</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1059.50</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cs="宋体"/>
                <w:color w:val="000000"/>
                <w:kern w:val="0"/>
                <w:sz w:val="18"/>
                <w:szCs w:val="18"/>
              </w:rPr>
            </w:pP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348"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3</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IP网络广播控制主机</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1.工业级机柜式机箱设计，机箱采用钢结构，有较高的防磁、防尘、防冲击的能力。</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2.15英寸LED液晶显示屏，内置五线工业加固触摸屏，简单易用的触摸屏操控。</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3.工业级专用主板设计，双核两线程超低功耗的嵌入式工业级处理器，处理速度更快，运作性能更强，可以长时期不断电稳定工作。</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4.内置大容量128G SSD固态硬盘，具有抗震动、抗摔、读写速度快、功耗低等特点。</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5.自带4路USB接口（4组通用串行总线），6路通用串口（6组工业异步传输接口），最高480M传输速率。方便外扩周边设备接入。</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6.自带1路千兆网卡，同时兼容百兆网络。自适应交换机连接系统。</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7.支持双显卡，可外接最大FullHD显示设备。</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8.具有一路短路触发开机运行接口，用于外部设备定时驱动开机运行，实现无人值守功能。</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9.支持操作系统配置通电自动开机、定时自动开机，定时自动关机功能，方便项目灵活操作管理。</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10.运载服务器软件后构成系统管理控制中心，服务器软件采用后台系统服务运行，是企业级的标准服务器工作模式，开机系统即可自动运行，相比运行在界面前台的软件具有更高的稳定性和可靠性。</w:t>
            </w:r>
          </w:p>
          <w:p>
            <w:pPr>
              <w:widowControl/>
              <w:jc w:val="left"/>
              <w:rPr>
                <w:rFonts w:ascii="宋体" w:hAnsi="宋体" w:cs="宋体"/>
                <w:color w:val="000000"/>
                <w:kern w:val="0"/>
                <w:sz w:val="18"/>
                <w:szCs w:val="18"/>
              </w:rPr>
            </w:pPr>
            <w:r>
              <w:rPr>
                <w:rFonts w:ascii="宋体" w:hAnsi="宋体" w:eastAsia="宋体" w:cs="宋体"/>
                <w:color w:val="000000"/>
                <w:kern w:val="0"/>
                <w:sz w:val="18"/>
                <w:szCs w:val="18"/>
              </w:rPr>
              <w:t>13.支持录音存储功能，可在后台自定义设置录音文件保存路径。</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cs="宋体"/>
                <w:color w:val="000000"/>
                <w:kern w:val="0"/>
                <w:sz w:val="18"/>
                <w:szCs w:val="18"/>
              </w:rPr>
            </w:pP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7104"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4</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数字化IP网络广播系统V3.0</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1.软件是整个系统的运行核心，统一管理系统内所有音频终端，包括寻呼话筒、对讲终端、广播终端和消防接口设备，实时显示音频终端的IP地址、在线状态、任务状态、音量等运行状态。</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2.广播系统需要为嵌入式（B/S架构），通过网页登陆即可进行终端管理、用户管理、节目播放管理、媒体库管理等功能的操作。</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3.管理节目库资源，为所有音频终端器提供定时播放和实时点播媒体服务，响应各终端的节目播放请求，为各音频工作站提供数据接口服务。支持手机移动端WIFI点播，兼容Android和IOS系统手机APP进行操作。</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4.提供全双工语音数据交换，响应各对讲终端的呼叫和通话请求，支持一键呼叫、一键对讲、一键求助、一键报警等通话模式，支持自动接听、手动接听，支持自定义接听提示音；支持多种呼叫策略，包括呼叫等待、呼叫转移、无人接听提醒，支持时间策略和转移策略自定义设置。</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5.支持设置对讲终端呼叫策略，可自定义通话时间0-180S或不受限，可选择是否自动接听，支持自定义选择来电铃声与等待铃声。</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6.支持终端短路输入联动触发，可任意设置联动触发方案和触发终端数量，触发方案包括短路输出、音乐播放等。</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7.编程定时任务，支持编程多套定时方案，支持选择任意终端和设置任意时间；支持多套定时打铃方案同时启用，每套定时打铃方案支持多套任务同时进行，支持一键启用/停用所有方案。</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8.支持定时巡更功能，支持自定义巡更任务的执行时间及重复周期，可自定义指示灯闪烁间隔时间0-30s。</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9.支持后台换肤功能，可根据喜好自由切换皮肤主题；后台软件支持对终端进行远程固件升级。</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10.支持广播、对讲、实时采集、终端监听进行录音；支持文本广播功能，可实现将文本转成语音，支持后台调整语速、设置男声或女声功能；支持电子地图功能，可实现在地图上实时显示终端状态。</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11.支持对8路功率分区终端进行功率控制分区设置，通过web页面后台或分控客户端均可轻松设置分区。</w:t>
            </w:r>
          </w:p>
          <w:p>
            <w:pPr>
              <w:widowControl/>
              <w:jc w:val="left"/>
              <w:rPr>
                <w:rFonts w:ascii="宋体" w:hAnsi="宋体" w:cs="宋体"/>
                <w:color w:val="000000"/>
                <w:kern w:val="0"/>
                <w:sz w:val="18"/>
                <w:szCs w:val="18"/>
              </w:rPr>
            </w:pPr>
            <w:r>
              <w:rPr>
                <w:rFonts w:ascii="宋体" w:hAnsi="宋体" w:eastAsia="宋体" w:cs="宋体"/>
                <w:color w:val="000000"/>
                <w:kern w:val="0"/>
                <w:sz w:val="18"/>
                <w:szCs w:val="18"/>
              </w:rPr>
              <w:t>12.支持对终端设置时间显示配置，可设置0-6级别亮度值，可设置离线后不显示时间等模式。13.支持对终端设置不同的灯光模式，可分别自定义设置红灯亮、红灯灭、绿/蓝灯亮、绿/蓝灯灭时间0.1S-10S。14.为了使得终端设备在现场使用环境不同而调节修饰音效，要求网页登陆广播系统后台可对终端进行5段均衡器调节：可对终端进行80Hz、300Hz、1KHz、3KHz、10KHz频点的±16dB调节。</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cs="宋体"/>
                <w:color w:val="000000"/>
                <w:kern w:val="0"/>
                <w:sz w:val="18"/>
                <w:szCs w:val="18"/>
              </w:rPr>
            </w:pP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747"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5</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软件</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ascii="宋体" w:hAnsi="宋体" w:eastAsia="宋体" w:cs="宋体"/>
                <w:color w:val="000000"/>
                <w:kern w:val="0"/>
                <w:sz w:val="18"/>
                <w:szCs w:val="18"/>
              </w:rPr>
              <w:t>IP网络软件加密设备，软件注册使用加密狗方式，注册时可有效设定授权终端数量及使用时间期限。</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套</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cs="宋体"/>
                <w:color w:val="000000"/>
                <w:kern w:val="0"/>
                <w:sz w:val="18"/>
                <w:szCs w:val="18"/>
              </w:rPr>
            </w:pP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261"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6</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CD播放器</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1.吸入式机芯，防尘效果更好，使用寿命更长。</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2. 自动播放控制，全数码伺服。</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3.可播放：CD/VCD/MP3/DVD碟片。</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4.内置宽频高保真监听扬声器。</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5.内置MP3播放器，可读USB和SD卡。</w:t>
            </w:r>
          </w:p>
          <w:p>
            <w:pPr>
              <w:widowControl/>
              <w:jc w:val="left"/>
              <w:rPr>
                <w:rFonts w:ascii="宋体" w:hAnsi="宋体" w:cs="宋体"/>
                <w:color w:val="000000"/>
                <w:kern w:val="0"/>
                <w:sz w:val="18"/>
                <w:szCs w:val="18"/>
              </w:rPr>
            </w:pPr>
            <w:r>
              <w:rPr>
                <w:rFonts w:ascii="宋体" w:hAnsi="宋体" w:eastAsia="宋体" w:cs="宋体"/>
                <w:color w:val="000000"/>
                <w:kern w:val="0"/>
                <w:sz w:val="18"/>
                <w:szCs w:val="18"/>
              </w:rPr>
              <w:t>6.可通过面板按键或红外遥控器控制操作。</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cs="宋体"/>
                <w:color w:val="000000"/>
                <w:kern w:val="0"/>
                <w:sz w:val="18"/>
                <w:szCs w:val="18"/>
              </w:rPr>
            </w:pP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470"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7</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前置放大器</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1具有5路话筒（MIC）输入，3路标准信号线路（AUX）输入，2路紧急线路（EMC）输入；</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2.第5个话筒（MIC5）具有最高优先、强行切入优先功能；MIC5和EMC最高优先权限功能可通过拔动开关交替选择；</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3.4路紧急输入线路具有二级优先，强行切入优先功能；</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4.MIC1.2.3.4.5 和2路紧急输入（EMC）通道均附设有线路辅助输入接口功能；</w:t>
            </w:r>
          </w:p>
          <w:p>
            <w:pPr>
              <w:widowControl/>
              <w:jc w:val="left"/>
              <w:rPr>
                <w:rFonts w:ascii="宋体" w:hAnsi="宋体" w:cs="宋体"/>
                <w:color w:val="000000"/>
                <w:kern w:val="0"/>
                <w:sz w:val="18"/>
                <w:szCs w:val="18"/>
              </w:rPr>
            </w:pPr>
            <w:r>
              <w:rPr>
                <w:rFonts w:ascii="宋体" w:hAnsi="宋体" w:eastAsia="宋体" w:cs="宋体"/>
                <w:color w:val="000000"/>
                <w:kern w:val="0"/>
                <w:sz w:val="18"/>
                <w:szCs w:val="18"/>
              </w:rPr>
              <w:t>5.具有默音深度调节旋钮和EMC输入增益调节旋钮。</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cs="宋体"/>
                <w:color w:val="000000"/>
                <w:kern w:val="0"/>
                <w:sz w:val="18"/>
                <w:szCs w:val="18"/>
              </w:rPr>
            </w:pP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470"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8</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IP网络音频采集终端</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1.采集设备支持将模拟音频采集编码成数字音频，具有1路RJ45网络接口，支持定时采播任务、临时采播任务功能。</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2.具有≥2组RCA音频输入接口，支持音量调节功能。</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3.采播任务支持3种采集音质可选，支持普通、中级、高级音质选择模式。</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4.支持通过后台软件对终端进行远程固件升级。</w:t>
            </w:r>
          </w:p>
          <w:p>
            <w:pPr>
              <w:widowControl/>
              <w:jc w:val="left"/>
              <w:rPr>
                <w:rFonts w:ascii="宋体" w:hAnsi="宋体" w:cs="宋体"/>
                <w:color w:val="000000"/>
                <w:kern w:val="0"/>
                <w:sz w:val="18"/>
                <w:szCs w:val="18"/>
              </w:rPr>
            </w:pPr>
            <w:r>
              <w:rPr>
                <w:rFonts w:ascii="宋体" w:hAnsi="宋体" w:eastAsia="宋体" w:cs="宋体"/>
                <w:color w:val="000000"/>
                <w:kern w:val="0"/>
                <w:sz w:val="18"/>
                <w:szCs w:val="18"/>
              </w:rPr>
              <w:t>5.频率响应范围80Hz～14KHz，信噪比&gt;65dB，谐波失真≤0.3%，支持MP3音频格式。</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套</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cs="宋体"/>
                <w:color w:val="000000"/>
                <w:kern w:val="0"/>
                <w:sz w:val="18"/>
                <w:szCs w:val="18"/>
              </w:rPr>
            </w:pP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139"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9</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IP网络寻呼</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1.采用话筒桌面式设计，带有7英寸显示屏，带触摸控制功能；显示屏自带数字键、功能键，支持通过触摸呼叫广播，支持呼叫分区及多个分区，呼叫全区广播；可支持10个按键自定义一键呼叫广播功能。</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2.内置1路网络硬件音频解码模块，具有1路RJ45网络接口，100Mbps传输速率。</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3.支持监听任意终端功能，内置2W全频高保真扬声器，实现双向通话和网络监听。</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4.支持1路音频线路输入，支持采集播放功能；具有1路音频线路输出，可外接功率放大器。</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5.支持直接操作呼叫或对讲任意终端，支持通过话筒广播呼叫功能，广播延时低于100毫秒。</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6.支持多种呼叫策略，包括呼叫等待、呼叫转移、无人接听提醒；自动接听、手动接听，支持自定义接听提示音，支持转移时间、无人接听时间、呼叫等待时间自定义。</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7.具有1个3.5耳机接口、1路3.5话筒输入接口。</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8.具有1路短路输出接口、1路短路输入接口。</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9.支持通过后台软件对终端进行远程固件升级。</w:t>
            </w:r>
          </w:p>
          <w:p>
            <w:pPr>
              <w:widowControl/>
              <w:jc w:val="left"/>
              <w:rPr>
                <w:rFonts w:ascii="宋体" w:hAnsi="宋体" w:cs="宋体"/>
                <w:color w:val="000000"/>
                <w:kern w:val="0"/>
                <w:sz w:val="18"/>
                <w:szCs w:val="18"/>
              </w:rPr>
            </w:pPr>
            <w:r>
              <w:rPr>
                <w:rFonts w:ascii="宋体" w:hAnsi="宋体" w:eastAsia="宋体" w:cs="宋体"/>
                <w:color w:val="000000"/>
                <w:kern w:val="0"/>
                <w:sz w:val="18"/>
                <w:szCs w:val="18"/>
              </w:rPr>
              <w:t>10.信噪比＞65dB，总偕波失真≤1%，LIEN OUT频率响应：80Hz～16KHz，输出电平：1000mV。</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cs="宋体"/>
                <w:color w:val="000000"/>
                <w:kern w:val="0"/>
                <w:sz w:val="18"/>
                <w:szCs w:val="18"/>
              </w:rPr>
            </w:pP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261"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10</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IP消防报警采集器</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1.设备用于采集消防报警短路信号，机柜式设计。</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2.具有1路RJ45网络接口，100Mbps传输速率，支持通过后台软件对终端进行远程固件升级。</w:t>
            </w:r>
          </w:p>
          <w:p>
            <w:pPr>
              <w:widowControl/>
              <w:jc w:val="left"/>
              <w:rPr>
                <w:rFonts w:ascii="宋体" w:hAnsi="宋体" w:cs="宋体"/>
                <w:color w:val="000000"/>
                <w:kern w:val="0"/>
                <w:sz w:val="18"/>
                <w:szCs w:val="18"/>
              </w:rPr>
            </w:pPr>
            <w:r>
              <w:rPr>
                <w:rFonts w:ascii="宋体" w:hAnsi="宋体" w:eastAsia="宋体" w:cs="宋体"/>
                <w:color w:val="000000"/>
                <w:kern w:val="0"/>
                <w:sz w:val="18"/>
                <w:szCs w:val="18"/>
              </w:rPr>
              <w:t>3.支持≥16路消防短路输入接口，支持后台设置报警策略，可为每路短路信号输入端口配置报警策略，关联联动的终端及播放曲目等功能。4.支持通过面板一键取消任务。</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个</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cs="宋体"/>
                <w:color w:val="000000"/>
                <w:kern w:val="0"/>
                <w:sz w:val="18"/>
                <w:szCs w:val="18"/>
              </w:rPr>
            </w:pP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887"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11</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节目定时器</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1.标准机柜式设计，设有十路可编辑定时控制电源，最大用电量2500W。</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2.大屏幕液晶显示屏，图形化界面，操作简单。可显示10路电源状态指示、日期、星期、时间、下一步程序的信息等。</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3.具备1路钟声输出接口，1路报警短路信号输入接口。</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4.具备1路触发控制短路信号输出接口，可触发报警器等设备。</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5.设有短路触发输出接口，可控制十六位电源时序器开关，扩展定时电源插座。</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6.支持将一星期内某一天的程序拷贝到其它的某一天或某几天。</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7.断电程序不丢失，来电自动恢复运行。</w:t>
            </w:r>
          </w:p>
          <w:p>
            <w:pPr>
              <w:widowControl/>
              <w:jc w:val="left"/>
              <w:rPr>
                <w:rFonts w:ascii="宋体" w:hAnsi="宋体" w:cs="宋体"/>
                <w:color w:val="000000"/>
                <w:kern w:val="0"/>
                <w:sz w:val="18"/>
                <w:szCs w:val="18"/>
              </w:rPr>
            </w:pPr>
            <w:r>
              <w:rPr>
                <w:rFonts w:ascii="宋体" w:hAnsi="宋体" w:eastAsia="宋体" w:cs="宋体"/>
                <w:color w:val="000000"/>
                <w:kern w:val="0"/>
                <w:sz w:val="18"/>
                <w:szCs w:val="18"/>
              </w:rPr>
              <w:t>8.存储容量大，可进行多步编程定时控制电源。</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cs="宋体"/>
                <w:color w:val="000000"/>
                <w:kern w:val="0"/>
                <w:sz w:val="18"/>
                <w:szCs w:val="18"/>
              </w:rPr>
            </w:pP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513"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12</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IP网络终端功放</w:t>
            </w:r>
          </w:p>
        </w:tc>
        <w:tc>
          <w:tcPr>
            <w:tcW w:w="6761" w:type="dxa"/>
            <w:tcBorders>
              <w:top w:val="single" w:color="000000" w:sz="4" w:space="0"/>
              <w:left w:val="single" w:color="000000" w:sz="4" w:space="0"/>
              <w:bottom w:val="nil"/>
              <w:right w:val="nil"/>
            </w:tcBorders>
            <w:shd w:val="clear" w:color="000000" w:fill="FFFFFF"/>
            <w:vAlign w:val="top"/>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1.设备采用标准19英寸机架设计，带有≥3.4英寸LCD显示屏，支持红外遥控器点播服务器节目库任意内容，可控制播放/暂停。</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2.内置1路网络硬件音频解码模块，具有1路RJ45网络接口，100Mbps传输速率。</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3.支持1路线路输入和1路话筒输入接口，可独立调节音量；具有1路EMC输入接口，具有最高优先级；支高低音调节电位器控制；具有2路音频输出接口。</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4.具有1路三线制强切输出接口，无需强切电源。</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5.集成模拟功放，功率≥60W；支持定阻(4-16Ω)或定压（70V、100V）方式输出</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6.支持通过后台软件对终端进行远程固件升级。</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7.频率响应范围80Hz～16KHz，谐波失真≤1%，信噪比＞65dB。</w:t>
            </w:r>
          </w:p>
          <w:p>
            <w:pPr>
              <w:widowControl/>
              <w:jc w:val="left"/>
              <w:rPr>
                <w:rFonts w:ascii="宋体" w:hAnsi="宋体" w:cs="宋体"/>
                <w:color w:val="000000"/>
                <w:kern w:val="0"/>
                <w:sz w:val="18"/>
                <w:szCs w:val="18"/>
              </w:rPr>
            </w:pPr>
            <w:r>
              <w:rPr>
                <w:rFonts w:ascii="宋体" w:hAnsi="宋体" w:eastAsia="宋体" w:cs="宋体"/>
                <w:color w:val="000000"/>
                <w:kern w:val="0"/>
                <w:sz w:val="18"/>
                <w:szCs w:val="18"/>
              </w:rPr>
              <w:t>8.支持状态灯显示，包括电平指示灯、保护指示灯、待机指示灯等。</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cs="宋体"/>
                <w:color w:val="000000"/>
                <w:kern w:val="0"/>
                <w:sz w:val="18"/>
                <w:szCs w:val="18"/>
              </w:rPr>
            </w:pP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261"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13</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机柜、机架</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名称:机柜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规格、型号:40U 600*800*2000(前后网孔门)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SPCC优质冷扎钢板制作;厚度:方孔条2.0mm,托盘2.0mm,安装梁1.5m,其他1.2mm;表面处理:脱脂、酸洗、磷化、静电喷塑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外观高贵典雅,工艺精湛、尺寸精密,媲美国际最高档网络服务器机柜,彰显优质机房工程形象</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cs="宋体"/>
                <w:color w:val="000000"/>
                <w:kern w:val="0"/>
                <w:sz w:val="18"/>
                <w:szCs w:val="18"/>
              </w:rPr>
            </w:pP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35"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14</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交换机</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1.名称:交换机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2.类别:24个10/100/1000M自适应电口，4个100M/1G SFP光口，2个复用的10/100/1000M自适应电口，冗余电源，模块化双风扇</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cs="宋体"/>
                <w:color w:val="000000"/>
                <w:kern w:val="0"/>
                <w:sz w:val="18"/>
                <w:szCs w:val="18"/>
              </w:rPr>
            </w:pP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348"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15</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机柜式IP网络解码终端</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1.设备采用标准19英寸机架设计，4路PC机下载IP地址串口，用于修改网络解码模块IP地址；4路独立直观的双色LED状态灯，1路电源指示灯。</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2.具备≥1路线路（AUX）和≥1路话筒（MIC）输入接口，具有独立的音量调节；4路音频信号输出接口，可同时外接4台功率放大器，工业级接线端子。</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3.设备采用嵌入式计算机技术和DSP音频处理技术设计；采用高速工业级芯片，启动时间小于1秒钟；内置4路网络硬件音频解码模块，支持TCP/IP、UDP、IGMP(组播)协议，实现网络化传输16位CD音质的音频信号。</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4.支持远程媒体点播功能，节目点播支持英语教练播放模式(A-B复读)；支持手机WIFI点播，支持无线遥控器点播,支持PSTN电话广播，支持短信语音广播。  </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5.支持缄默强度预置减少功能，支持背景伴奏预置功能。</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6.具备有三线制音控强切输出接口，无需DC24V强切电源，且不限音控数量；4路独立通道和2路整合通道两种智能电源管理接口，并具有智能电源管理，无音乐或呼叫时，自动切断级联功放电源，进入待机状态，且具有编程打开输出电源功能。</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7.内置MDI/MDIX自动交换协议的交换机；具备双网络接口。</w:t>
            </w:r>
          </w:p>
          <w:p>
            <w:pPr>
              <w:widowControl/>
              <w:jc w:val="left"/>
              <w:rPr>
                <w:rFonts w:ascii="宋体" w:hAnsi="宋体" w:cs="宋体"/>
                <w:color w:val="000000"/>
                <w:kern w:val="0"/>
                <w:sz w:val="18"/>
                <w:szCs w:val="18"/>
              </w:rPr>
            </w:pPr>
            <w:r>
              <w:rPr>
                <w:rFonts w:ascii="宋体" w:hAnsi="宋体" w:eastAsia="宋体" w:cs="宋体"/>
                <w:color w:val="000000"/>
                <w:kern w:val="0"/>
                <w:sz w:val="18"/>
                <w:szCs w:val="18"/>
              </w:rPr>
              <w:t>8.输出频率：80Hz～16KHz，谐波失真≤0.3%，信噪比＞70dB。</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cs="宋体"/>
                <w:color w:val="000000"/>
                <w:kern w:val="0"/>
                <w:sz w:val="18"/>
                <w:szCs w:val="18"/>
              </w:rPr>
            </w:pP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678"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16</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室内壁挂音箱</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1.室内壁挂音箱，流线型外观，声音辐射角度大，采用全频设计；适用于学校、酒店、宾馆、超市等。</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1．额定功率（100V）：6W</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2．额定功率（70V）：3W</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3．灵敏度≥89dB</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4．频率响应：130-16KHz</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5．喇叭单元：6.5"</w:t>
            </w:r>
          </w:p>
          <w:p>
            <w:pPr>
              <w:widowControl/>
              <w:jc w:val="left"/>
              <w:rPr>
                <w:rFonts w:ascii="宋体" w:hAnsi="宋体" w:cs="宋体"/>
                <w:color w:val="000000"/>
                <w:kern w:val="0"/>
                <w:sz w:val="18"/>
                <w:szCs w:val="18"/>
              </w:rPr>
            </w:pPr>
            <w:r>
              <w:rPr>
                <w:rFonts w:ascii="宋体" w:hAnsi="宋体" w:eastAsia="宋体" w:cs="宋体"/>
                <w:color w:val="000000"/>
                <w:kern w:val="0"/>
                <w:sz w:val="18"/>
                <w:szCs w:val="18"/>
              </w:rPr>
              <w:t>6．防护等级：IP×5防尘</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19</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cs="宋体"/>
                <w:color w:val="000000"/>
                <w:kern w:val="0"/>
                <w:sz w:val="18"/>
                <w:szCs w:val="18"/>
              </w:rPr>
            </w:pP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053" w:hRule="atLeast"/>
        </w:trPr>
        <w:tc>
          <w:tcPr>
            <w:tcW w:w="69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17</w:t>
            </w:r>
          </w:p>
        </w:tc>
        <w:tc>
          <w:tcPr>
            <w:tcW w:w="185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一体化优质天花喇叭</w:t>
            </w:r>
          </w:p>
        </w:tc>
        <w:tc>
          <w:tcPr>
            <w:tcW w:w="67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1.额定功率：(100V)1.5W,3W,6W</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2.额定功率：(70V)0.75W,1.5W,3W</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3.灵敏度)≥92dB</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4.频率响应(-10dB)：110-18KHz</w:t>
            </w:r>
          </w:p>
          <w:p>
            <w:pPr>
              <w:widowControl/>
              <w:jc w:val="left"/>
              <w:rPr>
                <w:rFonts w:ascii="宋体" w:hAnsi="宋体" w:cs="宋体"/>
                <w:color w:val="000000"/>
                <w:kern w:val="0"/>
                <w:sz w:val="18"/>
                <w:szCs w:val="18"/>
              </w:rPr>
            </w:pPr>
            <w:r>
              <w:rPr>
                <w:rFonts w:ascii="宋体" w:hAnsi="宋体" w:eastAsia="宋体" w:cs="宋体"/>
                <w:color w:val="000000"/>
                <w:kern w:val="0"/>
                <w:sz w:val="18"/>
                <w:szCs w:val="18"/>
              </w:rPr>
              <w:t>5.喇叭单元：5"×1</w:t>
            </w:r>
          </w:p>
        </w:tc>
        <w:tc>
          <w:tcPr>
            <w:tcW w:w="65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19</w:t>
            </w:r>
          </w:p>
        </w:tc>
        <w:tc>
          <w:tcPr>
            <w:tcW w:w="131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p>
        </w:tc>
        <w:tc>
          <w:tcPr>
            <w:tcW w:w="103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p>
        </w:tc>
        <w:tc>
          <w:tcPr>
            <w:tcW w:w="1040" w:type="dxa"/>
            <w:tcBorders>
              <w:top w:val="single" w:color="auto" w:sz="4" w:space="0"/>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707" w:hRule="atLeast"/>
        </w:trPr>
        <w:tc>
          <w:tcPr>
            <w:tcW w:w="14260" w:type="dxa"/>
            <w:gridSpan w:val="8"/>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五、显示屏系统</w:t>
            </w:r>
          </w:p>
        </w:tc>
      </w:tr>
      <w:tr>
        <w:tblPrEx>
          <w:tblLayout w:type="fixed"/>
          <w:tblCellMar>
            <w:top w:w="0" w:type="dxa"/>
            <w:left w:w="108" w:type="dxa"/>
            <w:bottom w:w="0" w:type="dxa"/>
            <w:right w:w="108" w:type="dxa"/>
          </w:tblCellMar>
        </w:tblPrEx>
        <w:trPr>
          <w:trHeight w:val="707" w:hRule="atLeast"/>
        </w:trPr>
        <w:tc>
          <w:tcPr>
            <w:tcW w:w="699" w:type="dxa"/>
            <w:tcBorders>
              <w:top w:val="nil"/>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855" w:type="dxa"/>
            <w:tcBorders>
              <w:top w:val="nil"/>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761" w:type="dxa"/>
            <w:tcBorders>
              <w:top w:val="nil"/>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参数要求</w:t>
            </w:r>
          </w:p>
        </w:tc>
        <w:tc>
          <w:tcPr>
            <w:tcW w:w="655" w:type="dxa"/>
            <w:tcBorders>
              <w:top w:val="nil"/>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896" w:type="dxa"/>
            <w:tcBorders>
              <w:top w:val="nil"/>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1315" w:type="dxa"/>
            <w:tcBorders>
              <w:top w:val="nil"/>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品牌 </w:t>
            </w:r>
          </w:p>
        </w:tc>
        <w:tc>
          <w:tcPr>
            <w:tcW w:w="1039" w:type="dxa"/>
            <w:tcBorders>
              <w:top w:val="nil"/>
              <w:left w:val="single" w:color="000000" w:sz="4" w:space="0"/>
              <w:bottom w:val="nil"/>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单价（元）</w:t>
            </w:r>
          </w:p>
        </w:tc>
        <w:tc>
          <w:tcPr>
            <w:tcW w:w="1040" w:type="dxa"/>
            <w:tcBorders>
              <w:top w:val="nil"/>
              <w:left w:val="single" w:color="000000" w:sz="4" w:space="0"/>
              <w:bottom w:val="nil"/>
              <w:right w:val="single" w:color="000000"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合计（元）</w:t>
            </w:r>
          </w:p>
        </w:tc>
      </w:tr>
      <w:tr>
        <w:tblPrEx>
          <w:tblLayout w:type="fixed"/>
          <w:tblCellMar>
            <w:top w:w="0" w:type="dxa"/>
            <w:left w:w="108" w:type="dxa"/>
            <w:bottom w:w="0" w:type="dxa"/>
            <w:right w:w="108" w:type="dxa"/>
          </w:tblCellMar>
        </w:tblPrEx>
        <w:trPr>
          <w:trHeight w:val="4600"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篮球场馆专业显示设备</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1、结构说明：像素点采用1红1蓝1绿三合一；安装方式：钢挂贴墙式安装</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2、★室内 P3全彩单元板显示效果更加清晰细腻、分辨率可达到 1080P 以上；实现高刷新率、高灰阶及较高灯管利用率；无残影、防“毛毛虫” 、低功耗、低突波等-1R1G1B-SMD2020黑灯</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3、模组尺寸：192mm*192mm ，模组分辨率64点×64点；整屏分辨率：XX点*XX点=XX点 ，显示尺寸面积：XXm×XXm= XX㎡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4、驱动器件：采用LED专用恒流驱动-高刷新高灰阶。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5、像素失控率：&lt;0.0001；</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6、像素点间距：≤3mm ；最佳视角：水平≥165°，垂直≥165°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7、物理密度：≥111111点/㎡</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8、刷新频率：≥3900Hz；</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9、最大对比度：5213：1</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10、校正后白平衡亮度：≥730cd/m2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11、 亮度均匀性   ：≤1.1%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12、亮度调节方式：亮度调节0~100%可调；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13、★平均无故障时间：≥10000小时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14、平整度：任意相邻像素间≤0.12mm；</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15、工作电压：AC380V(三相五线制)或220v±10％,50HZ，包含配套电源。</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16、每平米平均功耗：≤420W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17、控制软件：专用软件及系统软件</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18、采用恒流方式驱动 LED，发光均匀，功耗低</w:t>
            </w:r>
          </w:p>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19、控制系统采用：同步系统</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套</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128" w:hRule="atLeast"/>
        </w:trPr>
        <w:tc>
          <w:tcPr>
            <w:tcW w:w="699" w:type="dxa"/>
            <w:tcBorders>
              <w:top w:val="single" w:color="000000" w:sz="4" w:space="0"/>
              <w:left w:val="single" w:color="000000" w:sz="4" w:space="0"/>
              <w:bottom w:val="single" w:color="auto" w:sz="4" w:space="0"/>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2</w:t>
            </w:r>
          </w:p>
        </w:tc>
        <w:tc>
          <w:tcPr>
            <w:tcW w:w="1855" w:type="dxa"/>
            <w:tcBorders>
              <w:top w:val="single" w:color="000000" w:sz="4" w:space="0"/>
              <w:left w:val="single" w:color="000000" w:sz="4" w:space="0"/>
              <w:bottom w:val="single" w:color="auto" w:sz="4" w:space="0"/>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CBA篮球赛专用软件</w:t>
            </w:r>
          </w:p>
        </w:tc>
        <w:tc>
          <w:tcPr>
            <w:tcW w:w="6761" w:type="dxa"/>
            <w:tcBorders>
              <w:top w:val="single" w:color="000000" w:sz="4" w:space="0"/>
              <w:left w:val="single" w:color="000000" w:sz="4" w:space="0"/>
              <w:bottom w:val="single" w:color="auto" w:sz="4" w:space="0"/>
              <w:right w:val="nil"/>
            </w:tcBorders>
            <w:shd w:val="clear" w:color="000000" w:fill="FFFFFF"/>
            <w:vAlign w:val="center"/>
          </w:tcPr>
          <w:p>
            <w:pPr>
              <w:spacing w:line="276"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篮球比赛采用CBA专用比赛软件，符合国家最新的体育比赛要求。采用CBA指定比赛计时器，电子显示屏计时、计分系统可直接与网络连接，裁判员在裁判席上可直接、快速、简便、实时地操作电脑、时间控制</w:t>
            </w:r>
            <w:r>
              <w:rPr>
                <w:rFonts w:hint="eastAsia" w:ascii="宋体" w:hAnsi="宋体" w:eastAsia="宋体" w:cs="宋体"/>
                <w:kern w:val="0"/>
                <w:sz w:val="18"/>
                <w:szCs w:val="18"/>
              </w:rPr>
              <w:t>器及24秒控制器，屏上实时显示比赛的计时、计分情况。并且可以向电视转播车提供比赛时间信号，以便于电视实况转播。操作简便，方便维护。</w:t>
            </w:r>
            <w:r>
              <w:rPr>
                <w:rFonts w:hint="eastAsia" w:ascii="宋体" w:hAnsi="宋体" w:eastAsia="宋体" w:cs="宋体"/>
                <w:color w:val="000000"/>
                <w:kern w:val="0"/>
                <w:sz w:val="18"/>
                <w:szCs w:val="18"/>
              </w:rPr>
              <w:t>可显示各类比赛的运动员名次、号码、姓名、成绩及简单介绍，历届重大国际国内比赛的最好成绩和相关内容。同时还可依据竞赛组委会的要求显示标语、口号，显示比赛赞助单位的情况简介及其产品宣传广告等功能。在操作比分窗口时显示窗口的各项比分会随着你的操作而实时在变化。比赛时可以显示比赛时间，显示比赛中的各种技术统计数据，如个人犯规次数、个人得分、犯规累计、暂停次数、比赛的节次、总比分、开发球的方向等。</w:t>
            </w:r>
          </w:p>
          <w:p>
            <w:pPr>
              <w:spacing w:line="276"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可支持多种体育比赛，可满足室内国内体育比赛使用要求</w:t>
            </w:r>
          </w:p>
          <w:p>
            <w:pPr>
              <w:spacing w:line="276" w:lineRule="auto"/>
              <w:rPr>
                <w:rFonts w:ascii="宋体" w:hAnsi="宋体" w:cs="宋体"/>
                <w:color w:val="000000"/>
                <w:kern w:val="0"/>
                <w:sz w:val="18"/>
                <w:szCs w:val="18"/>
              </w:rPr>
            </w:pPr>
            <w:r>
              <w:rPr>
                <w:rFonts w:hint="eastAsia" w:ascii="宋体" w:hAnsi="宋体" w:eastAsia="宋体" w:cs="宋体"/>
                <w:color w:val="000000"/>
                <w:kern w:val="0"/>
                <w:sz w:val="18"/>
                <w:szCs w:val="18"/>
              </w:rPr>
              <w:t>★提供体育比赛软件证明</w:t>
            </w:r>
          </w:p>
        </w:tc>
        <w:tc>
          <w:tcPr>
            <w:tcW w:w="655" w:type="dxa"/>
            <w:tcBorders>
              <w:top w:val="single" w:color="000000" w:sz="4" w:space="0"/>
              <w:left w:val="single" w:color="000000" w:sz="4" w:space="0"/>
              <w:bottom w:val="single" w:color="auto" w:sz="4" w:space="0"/>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套</w:t>
            </w:r>
          </w:p>
        </w:tc>
        <w:tc>
          <w:tcPr>
            <w:tcW w:w="896" w:type="dxa"/>
            <w:tcBorders>
              <w:top w:val="single" w:color="000000" w:sz="4" w:space="0"/>
              <w:left w:val="single" w:color="000000" w:sz="4" w:space="0"/>
              <w:bottom w:val="single" w:color="auto" w:sz="4" w:space="0"/>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single" w:color="auto" w:sz="4" w:space="0"/>
              <w:right w:val="single" w:color="000000"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nil"/>
              <w:bottom w:val="single" w:color="auto" w:sz="4" w:space="0"/>
              <w:right w:val="single" w:color="auto"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70" w:hRule="atLeast"/>
        </w:trPr>
        <w:tc>
          <w:tcPr>
            <w:tcW w:w="14260" w:type="dxa"/>
            <w:gridSpan w:val="8"/>
            <w:tcBorders>
              <w:top w:val="nil"/>
              <w:left w:val="single" w:color="auto" w:sz="4" w:space="0"/>
              <w:bottom w:val="nil"/>
              <w:right w:val="single" w:color="auto" w:sz="4" w:space="0"/>
            </w:tcBorders>
            <w:shd w:val="clear" w:color="000000" w:fill="FFFFFF"/>
            <w:vAlign w:val="center"/>
          </w:tcPr>
          <w:p>
            <w:pPr>
              <w:widowControl/>
              <w:jc w:val="left"/>
              <w:rPr>
                <w:rFonts w:eastAsia="Times New Roman"/>
                <w:kern w:val="0"/>
                <w:sz w:val="20"/>
                <w:szCs w:val="20"/>
              </w:rPr>
            </w:pPr>
            <w:r>
              <w:rPr>
                <w:rFonts w:hint="eastAsia" w:ascii="宋体" w:hAnsi="宋体" w:cs="宋体"/>
                <w:color w:val="000000"/>
                <w:kern w:val="0"/>
                <w:sz w:val="22"/>
                <w:szCs w:val="22"/>
              </w:rPr>
              <w:t>六、通风排烟系统</w:t>
            </w:r>
          </w:p>
        </w:tc>
      </w:tr>
      <w:tr>
        <w:tblPrEx>
          <w:tblLayout w:type="fixed"/>
          <w:tblCellMar>
            <w:top w:w="0" w:type="dxa"/>
            <w:left w:w="108" w:type="dxa"/>
            <w:bottom w:w="0" w:type="dxa"/>
            <w:right w:w="108" w:type="dxa"/>
          </w:tblCellMar>
        </w:tblPrEx>
        <w:trPr>
          <w:trHeight w:val="666" w:hRule="atLeast"/>
        </w:trPr>
        <w:tc>
          <w:tcPr>
            <w:tcW w:w="699" w:type="dxa"/>
            <w:tcBorders>
              <w:top w:val="single" w:color="000000" w:sz="4" w:space="0"/>
              <w:left w:val="single" w:color="auto"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8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761"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131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品牌</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单价（元）</w:t>
            </w:r>
          </w:p>
        </w:tc>
        <w:tc>
          <w:tcPr>
            <w:tcW w:w="1040"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合计（元）</w:t>
            </w:r>
          </w:p>
        </w:tc>
      </w:tr>
      <w:tr>
        <w:tblPrEx>
          <w:tblLayout w:type="fixed"/>
          <w:tblCellMar>
            <w:top w:w="0" w:type="dxa"/>
            <w:left w:w="108" w:type="dxa"/>
            <w:bottom w:w="0" w:type="dxa"/>
            <w:right w:w="108" w:type="dxa"/>
          </w:tblCellMar>
        </w:tblPrEx>
        <w:trPr>
          <w:trHeight w:val="1189"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轴流通风机</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1、名称：消防高温排烟风机PY-1</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2、型号：HTF-I-8</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3、规格：风量35000m3/h，功率11KW</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4、安装形式：落地安装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5、隔振垫安装</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189"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2</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轴流通风机</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1、名称：消防高温排烟风机PY-2</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2、型号：HTF-I-7</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3、规格：风量24380m3/h，功率7.5KW</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4、安装形式：落地安装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5、隔振垫安装</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189"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3</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轴流通风机</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1、名称：消防高温排烟风机PY-3</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2、型号：HTF-I-13</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3、规格：风量63370m3/h，功率18.5KW</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4、安装形式：落地安装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5、隔振垫安装</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189"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4</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轴流通风机</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1、名称：消防高温排烟风机PY-4</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2、型号：HTF-I-11</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3、规格：风量53160m3/h，功率15KW</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4、安装形式：落地安装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5、隔振垫安装</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189"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5</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风扇</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称：排气扇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2、型 号：BPT120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3、风 量：120m3/h</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4、安装方式：吊顶式</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2</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189"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6</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风扇</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称：排气扇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2、型 号：BPT200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3、风 量：200m3/h</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4、安装方式：吊顶式</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3</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189"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7</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风扇</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称：排气扇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2、型 号：BPT400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3、风 量：400m3/h</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4、安装方式：吊顶式</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6</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86"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8</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风扇</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称：排气扇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2、型 号：BPT500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3、风 量：500m3/h</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4、安装方式：吊顶式</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台</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4</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189"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9</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碳钢通风管道</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称：镀锌板通风管道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 质：镀锌薄钢板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3、形 状：矩形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4、规 格：160*120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5、板材厚度：δ0.5</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m2</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2.06</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189"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10</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碳钢通风管道</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称：镀锌板通风管道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 质：镀锌薄钢板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3、形 状：矩形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4、规 格：250*120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5、板材厚度：δ0.75</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m2</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6.30</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189"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11</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碳钢通风管道</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称：镀锌板通风管道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 质：镀锌薄钢板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3、形 状：矩形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4、规 格：500*200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5、板材厚度：δ0.75</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m2</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30.86</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189"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12</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碳钢通风管道</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称：镀锌板通风管道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 质：镀锌薄钢板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3、形 状：矩形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4、规 格：630*250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5、板材厚度：δ1</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m2</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16.72</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189"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13</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碳钢通风管道</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称：镀锌板排烟管道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 质：镀锌薄钢板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3、形 状：矩形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4、规 格：800*250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5、板材厚度：δ1.5</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m2</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2.12</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189"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14</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碳钢通风管道</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称：镀锌板排烟管道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2、材 质：镀锌薄钢板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3、形 状：矩形</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4、规 格：800*800</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5、板材厚度：δ1.5</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m2</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1.41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189"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15</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碳钢通风管道</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称：镀锌板排烟管道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 质：镀锌薄钢板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3、形 状：矩形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4、规 格：1000*250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5、板材厚度：δ1.5</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m2</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4.40</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053"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16</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碳钢通风管道</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称：镀锌板排烟管道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 质：镀锌薄钢板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3、形 状：矩形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4、规 格：1250*320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5、板材厚度：δ1.5</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m2</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9.80</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189"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17</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碳钢通风管道</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称：镀锌板排烟管道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 质：镀锌薄钢板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3、形 状：矩形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4、规 格：1250*630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5、板材厚度：δ1.5</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m2</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23.35</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189"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18</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碳钢通风管道</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称：镀锌板排烟管道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 质：镀锌薄钢板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3、形 状：矩形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4、规 格：1500*500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5、板材厚度：δ1.5</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m2</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1.00</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189"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19</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碳钢通风管道</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称：镀锌板排烟管道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 质：镀锌薄钢板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3、形 状：矩形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4、规 格：1600*500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5、板材厚度：δ1.5</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m2</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15.54</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189"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20</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碳钢通风管道</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称：镀锌板排烟管道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 质：镀锌薄钢板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3、形 状：矩形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4、规 格：1600*630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5、板材厚度：δ1.5</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m2</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29.08</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189"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21</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碳钢通风管道</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称：镀锌板排烟管道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 质：镀锌薄钢板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3、形 状：矩形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4、规 格：1700*630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5、板材厚度：δ1.5</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m2</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98.33</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189"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22</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碳钢通风管道</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称：镀锌板排烟管道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 质：镀锌薄钢板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3、形 状：圆形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4、规 格：直径1000以下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5、板材厚度：δ1.5</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m2</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3.77</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189"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23</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碳钢通风管道</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称：镀锌板排烟管道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 质：镀锌薄钢板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3、形 状：圆形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4、规 格：直径1250以下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5、板材厚度：δ1.5</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m2</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3.63</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189"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24</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碳钢通风管道</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称：镀锌板排烟管道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 质：镀锌薄钢板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3、形 状：圆形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4、规 格：直径2000以下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5、板材厚度：δ1.5</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m2</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5.10</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53"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25</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柔性软风管</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称：耐火铝箔软管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 格：φ100</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m</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4.99</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53"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26</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柔性接口</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称:软接口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 质:硅钛合钢耐高温软接头</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m2</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2.04</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53"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27</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碳钢阀门</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称：防火调节阀（280℃）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 格：800*250</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个</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53"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28</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碳钢阀门</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称：防火调节阀（280℃）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 格：800*800</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个</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53"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29</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碳钢阀门</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称：防火调节阀（280℃）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 格：1000*250</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个</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53"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30</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碳钢阀门</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称：防火调节阀（280℃）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 格：1250*320</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个</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53"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31</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碳钢阀门</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称：防火调节阀（280℃）</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2、规 格：1250*630</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个</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53"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32</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碳钢阀门</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称：防火调节阀（280℃）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 格：1600*500</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个</w:t>
            </w:r>
            <w:bookmarkStart w:id="60" w:name="_GoBack"/>
            <w:bookmarkEnd w:id="60"/>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53"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33</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碳钢阀门</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称：防火调节阀（280℃）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 格：1600*630</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个</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53"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34</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碳钢阀门</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称：防火调节阀（280℃）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 格：1700*630</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个</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2</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53"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35</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铝及铝合金风口、散流器</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称:铝合金单层百叶排烟口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 格：1000*1000</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个</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53"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36</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铝及铝合金风口、散流器</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称:铝合金单层百叶排烟口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 格：1500*1500</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个</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26"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37</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铝及铝合金风口、散流器</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称:铝合金单层百叶排烟口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 格：1600*1600</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个</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26"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38</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铝及铝合金风口、散流器</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1.电动多叶排烟口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2.630*（630+250）</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个</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26"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39</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铝及铝合金风口、散流器</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1.电动多叶排烟口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2.800*（800+250）</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个</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26"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40</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铝及铝合金风口、散流器</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1.电动多叶排烟口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2.500*（1250+250）</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个</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26"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41</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铝及铝合金风口、散流器</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称:铝合金单层防雨百叶风口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 格：500*200</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个</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26"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42</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铝及铝合金风口、散流器</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1.名 称:铝合金单层防雨百叶风口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 格：630*320</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个</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5</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93"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43</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铝及铝合金风口、散流器</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风机防虫网罩</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个</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4</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854" w:hRule="atLeast"/>
        </w:trPr>
        <w:tc>
          <w:tcPr>
            <w:tcW w:w="699"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44</w:t>
            </w:r>
          </w:p>
        </w:tc>
        <w:tc>
          <w:tcPr>
            <w:tcW w:w="1855"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设备支吊架</w:t>
            </w:r>
          </w:p>
        </w:tc>
        <w:tc>
          <w:tcPr>
            <w:tcW w:w="6761" w:type="dxa"/>
            <w:tcBorders>
              <w:top w:val="single" w:color="000000" w:sz="4" w:space="0"/>
              <w:left w:val="single" w:color="000000" w:sz="4" w:space="0"/>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1、设备支架制作安装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2、支架除锈：支架除轻锈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3、防腐刷油：刷红丹防锈漆2遍、银粉漆2遍</w:t>
            </w:r>
          </w:p>
        </w:tc>
        <w:tc>
          <w:tcPr>
            <w:tcW w:w="655"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Kg</w:t>
            </w:r>
          </w:p>
        </w:tc>
        <w:tc>
          <w:tcPr>
            <w:tcW w:w="896"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46</w:t>
            </w:r>
          </w:p>
        </w:tc>
        <w:tc>
          <w:tcPr>
            <w:tcW w:w="1315" w:type="dxa"/>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single" w:color="000000" w:sz="4" w:space="0"/>
              <w:bottom w:val="nil"/>
              <w:right w:val="single" w:color="000000"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000000" w:sz="4" w:space="0"/>
              <w:left w:val="single" w:color="000000" w:sz="4" w:space="0"/>
              <w:bottom w:val="nil"/>
              <w:right w:val="single" w:color="000000"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35" w:hRule="atLeast"/>
        </w:trPr>
        <w:tc>
          <w:tcPr>
            <w:tcW w:w="69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5</w:t>
            </w:r>
          </w:p>
        </w:tc>
        <w:tc>
          <w:tcPr>
            <w:tcW w:w="185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eastAsia="宋体" w:cs="宋体"/>
                <w:color w:val="000000"/>
                <w:kern w:val="0"/>
                <w:sz w:val="18"/>
                <w:szCs w:val="18"/>
              </w:rPr>
              <w:t>热水系统</w:t>
            </w:r>
          </w:p>
        </w:tc>
        <w:tc>
          <w:tcPr>
            <w:tcW w:w="67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ascii="宋体" w:hAnsi="宋体" w:eastAsia="宋体" w:cs="宋体"/>
                <w:color w:val="000000"/>
                <w:kern w:val="0"/>
                <w:sz w:val="18"/>
                <w:szCs w:val="18"/>
              </w:rPr>
              <w:t>12P循环式热水机，圆形保温水箱（8吨），循环加热水泵Q=7.5m3/h H=10m，供水增压泵Q=4m3/h H=20m，系统电控箱(定温补水、室外型，防雨、防雷、防潮)，包含PP-R热水管，阀门及所有配件，主机调试及线缆</w:t>
            </w:r>
          </w:p>
        </w:tc>
        <w:tc>
          <w:tcPr>
            <w:tcW w:w="65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套</w:t>
            </w:r>
          </w:p>
        </w:tc>
        <w:tc>
          <w:tcPr>
            <w:tcW w:w="89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single" w:color="auto" w:sz="4" w:space="0"/>
              <w:left w:val="nil"/>
              <w:bottom w:val="single" w:color="auto" w:sz="4" w:space="0"/>
              <w:right w:val="single" w:color="auto"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99" w:hRule="atLeast"/>
        </w:trPr>
        <w:tc>
          <w:tcPr>
            <w:tcW w:w="14260"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18"/>
                <w:szCs w:val="18"/>
              </w:rPr>
            </w:pPr>
            <w:r>
              <w:rPr>
                <w:rFonts w:hint="eastAsia" w:ascii="宋体" w:hAnsi="宋体" w:eastAsia="宋体" w:cs="宋体"/>
                <w:color w:val="000000"/>
                <w:kern w:val="0"/>
                <w:sz w:val="24"/>
                <w:szCs w:val="24"/>
              </w:rPr>
              <w:t>七、其他费用</w:t>
            </w:r>
          </w:p>
        </w:tc>
      </w:tr>
      <w:tr>
        <w:tblPrEx>
          <w:tblLayout w:type="fixed"/>
          <w:tblCellMar>
            <w:top w:w="0" w:type="dxa"/>
            <w:left w:w="108" w:type="dxa"/>
            <w:bottom w:w="0" w:type="dxa"/>
            <w:right w:w="108" w:type="dxa"/>
          </w:tblCellMar>
        </w:tblPrEx>
        <w:trPr>
          <w:trHeight w:val="599" w:hRule="atLeast"/>
        </w:trPr>
        <w:tc>
          <w:tcPr>
            <w:tcW w:w="69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85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施工服务费</w:t>
            </w:r>
          </w:p>
        </w:tc>
        <w:tc>
          <w:tcPr>
            <w:tcW w:w="67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包含所有设备安装调试及管线预埋施工、敷设等</w:t>
            </w:r>
          </w:p>
        </w:tc>
        <w:tc>
          <w:tcPr>
            <w:tcW w:w="65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89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p>
        </w:tc>
        <w:tc>
          <w:tcPr>
            <w:tcW w:w="103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18"/>
                <w:szCs w:val="18"/>
              </w:rPr>
            </w:pPr>
          </w:p>
        </w:tc>
        <w:tc>
          <w:tcPr>
            <w:tcW w:w="1040" w:type="dxa"/>
            <w:tcBorders>
              <w:top w:val="single" w:color="auto" w:sz="4" w:space="0"/>
              <w:left w:val="nil"/>
              <w:bottom w:val="single" w:color="auto" w:sz="4" w:space="0"/>
              <w:right w:val="single" w:color="auto"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99" w:hRule="atLeast"/>
        </w:trPr>
        <w:tc>
          <w:tcPr>
            <w:tcW w:w="69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2</w:t>
            </w:r>
          </w:p>
        </w:tc>
        <w:tc>
          <w:tcPr>
            <w:tcW w:w="185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运营商专线</w:t>
            </w:r>
          </w:p>
        </w:tc>
        <w:tc>
          <w:tcPr>
            <w:tcW w:w="67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用于监控系统与网络系统中的内网部分，需与我单位现有系统对接需。带宽要求1000</w:t>
            </w:r>
            <w:r>
              <w:rPr>
                <w:rFonts w:ascii="宋体" w:hAnsi="宋体" w:eastAsia="宋体" w:cs="宋体"/>
                <w:color w:val="000000"/>
                <w:kern w:val="0"/>
                <w:sz w:val="18"/>
                <w:szCs w:val="18"/>
              </w:rPr>
              <w:t>M</w:t>
            </w:r>
            <w:r>
              <w:rPr>
                <w:rFonts w:hint="eastAsia" w:ascii="宋体" w:hAnsi="宋体" w:eastAsia="宋体" w:cs="宋体"/>
                <w:color w:val="000000"/>
                <w:kern w:val="0"/>
                <w:sz w:val="18"/>
                <w:szCs w:val="18"/>
              </w:rPr>
              <w:t>以上，含1年费用。</w:t>
            </w:r>
          </w:p>
        </w:tc>
        <w:tc>
          <w:tcPr>
            <w:tcW w:w="65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条</w:t>
            </w:r>
          </w:p>
        </w:tc>
        <w:tc>
          <w:tcPr>
            <w:tcW w:w="89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p>
        </w:tc>
        <w:tc>
          <w:tcPr>
            <w:tcW w:w="103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18"/>
                <w:szCs w:val="18"/>
              </w:rPr>
            </w:pPr>
          </w:p>
        </w:tc>
        <w:tc>
          <w:tcPr>
            <w:tcW w:w="1040" w:type="dxa"/>
            <w:tcBorders>
              <w:top w:val="single" w:color="auto" w:sz="4" w:space="0"/>
              <w:left w:val="nil"/>
              <w:bottom w:val="single" w:color="auto" w:sz="4" w:space="0"/>
              <w:right w:val="single" w:color="auto"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99" w:hRule="atLeast"/>
        </w:trPr>
        <w:tc>
          <w:tcPr>
            <w:tcW w:w="69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3</w:t>
            </w:r>
          </w:p>
        </w:tc>
        <w:tc>
          <w:tcPr>
            <w:tcW w:w="185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互联网专线</w:t>
            </w:r>
          </w:p>
        </w:tc>
        <w:tc>
          <w:tcPr>
            <w:tcW w:w="67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带宽100</w:t>
            </w:r>
            <w:r>
              <w:rPr>
                <w:rFonts w:ascii="宋体" w:hAnsi="宋体" w:eastAsia="宋体" w:cs="宋体"/>
                <w:color w:val="000000"/>
                <w:kern w:val="0"/>
                <w:sz w:val="18"/>
                <w:szCs w:val="18"/>
              </w:rPr>
              <w:t>M</w:t>
            </w:r>
            <w:r>
              <w:rPr>
                <w:rFonts w:hint="eastAsia" w:ascii="宋体" w:hAnsi="宋体" w:eastAsia="宋体" w:cs="宋体"/>
                <w:color w:val="000000"/>
                <w:kern w:val="0"/>
                <w:sz w:val="18"/>
                <w:szCs w:val="18"/>
              </w:rPr>
              <w:t>，上下行对称。用于网络系统中的无线覆盖，含1年费用。</w:t>
            </w:r>
          </w:p>
        </w:tc>
        <w:tc>
          <w:tcPr>
            <w:tcW w:w="65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条</w:t>
            </w:r>
          </w:p>
        </w:tc>
        <w:tc>
          <w:tcPr>
            <w:tcW w:w="89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p>
        </w:tc>
        <w:tc>
          <w:tcPr>
            <w:tcW w:w="103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18"/>
                <w:szCs w:val="18"/>
              </w:rPr>
            </w:pPr>
          </w:p>
        </w:tc>
        <w:tc>
          <w:tcPr>
            <w:tcW w:w="1040" w:type="dxa"/>
            <w:tcBorders>
              <w:top w:val="single" w:color="auto" w:sz="4" w:space="0"/>
              <w:left w:val="nil"/>
              <w:bottom w:val="single" w:color="auto" w:sz="4" w:space="0"/>
              <w:right w:val="single" w:color="auto"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99" w:hRule="atLeast"/>
        </w:trPr>
        <w:tc>
          <w:tcPr>
            <w:tcW w:w="69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4</w:t>
            </w:r>
          </w:p>
        </w:tc>
        <w:tc>
          <w:tcPr>
            <w:tcW w:w="185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税费</w:t>
            </w:r>
          </w:p>
        </w:tc>
        <w:tc>
          <w:tcPr>
            <w:tcW w:w="67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本项目需提供9%施工服务的增值税专用发票</w:t>
            </w:r>
          </w:p>
        </w:tc>
        <w:tc>
          <w:tcPr>
            <w:tcW w:w="65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9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31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18"/>
                <w:szCs w:val="18"/>
              </w:rPr>
            </w:pPr>
          </w:p>
        </w:tc>
        <w:tc>
          <w:tcPr>
            <w:tcW w:w="103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18"/>
                <w:szCs w:val="18"/>
              </w:rPr>
            </w:pPr>
          </w:p>
        </w:tc>
        <w:tc>
          <w:tcPr>
            <w:tcW w:w="1040" w:type="dxa"/>
            <w:tcBorders>
              <w:top w:val="single" w:color="auto" w:sz="4" w:space="0"/>
              <w:left w:val="nil"/>
              <w:bottom w:val="single" w:color="auto" w:sz="4" w:space="0"/>
              <w:right w:val="single" w:color="auto" w:sz="4" w:space="0"/>
            </w:tcBorders>
            <w:shd w:val="clear" w:color="000000" w:fill="FFFFFF"/>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08" w:hRule="atLeast"/>
        </w:trPr>
        <w:tc>
          <w:tcPr>
            <w:tcW w:w="14260"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18"/>
                <w:szCs w:val="18"/>
              </w:rPr>
            </w:pPr>
            <w:r>
              <w:rPr>
                <w:rFonts w:hint="eastAsia" w:ascii="宋体" w:hAnsi="宋体" w:cs="宋体"/>
                <w:b/>
                <w:kern w:val="0"/>
                <w:sz w:val="22"/>
                <w:szCs w:val="22"/>
              </w:rPr>
              <w:t>合计：大写</w:t>
            </w:r>
            <w:r>
              <w:rPr>
                <w:rFonts w:hint="eastAsia" w:ascii="宋体" w:eastAsia="Times New Roman" w:cs="宋体"/>
                <w:b/>
                <w:kern w:val="0"/>
                <w:sz w:val="22"/>
                <w:szCs w:val="22"/>
                <w:u w:val="single"/>
              </w:rPr>
              <w:t xml:space="preserve">                         </w:t>
            </w:r>
            <w:r>
              <w:rPr>
                <w:rFonts w:hint="eastAsia" w:ascii="宋体" w:hAnsi="宋体" w:cs="宋体"/>
                <w:b/>
                <w:kern w:val="0"/>
                <w:sz w:val="22"/>
                <w:szCs w:val="22"/>
              </w:rPr>
              <w:t>元</w:t>
            </w:r>
            <w:r>
              <w:rPr>
                <w:rFonts w:hint="eastAsia" w:ascii="宋体" w:eastAsia="Times New Roman" w:cs="宋体"/>
                <w:b/>
                <w:kern w:val="0"/>
                <w:sz w:val="22"/>
                <w:szCs w:val="22"/>
              </w:rPr>
              <w:t xml:space="preserve">                     </w:t>
            </w:r>
            <w:r>
              <w:rPr>
                <w:rFonts w:hint="eastAsia" w:ascii="宋体" w:hAnsi="宋体" w:cs="宋体"/>
                <w:b/>
                <w:kern w:val="0"/>
                <w:sz w:val="22"/>
                <w:szCs w:val="22"/>
              </w:rPr>
              <w:t>小写：￥</w:t>
            </w:r>
            <w:r>
              <w:rPr>
                <w:rFonts w:hint="eastAsia" w:ascii="宋体" w:eastAsia="Times New Roman" w:cs="宋体"/>
                <w:b/>
                <w:kern w:val="0"/>
                <w:sz w:val="22"/>
                <w:szCs w:val="22"/>
                <w:u w:val="single"/>
              </w:rPr>
              <w:t xml:space="preserve">                </w:t>
            </w:r>
            <w:r>
              <w:rPr>
                <w:rFonts w:hint="eastAsia" w:ascii="宋体" w:hAnsi="宋体" w:cs="宋体"/>
                <w:b/>
                <w:kern w:val="0"/>
                <w:sz w:val="22"/>
                <w:szCs w:val="22"/>
              </w:rPr>
              <w:t>元</w:t>
            </w:r>
          </w:p>
        </w:tc>
      </w:tr>
    </w:tbl>
    <w:p>
      <w:pPr>
        <w:widowControl/>
        <w:jc w:val="left"/>
        <w:rPr>
          <w:sz w:val="24"/>
        </w:rPr>
      </w:pPr>
    </w:p>
    <w:p>
      <w:pPr>
        <w:numPr>
          <w:ilvl w:val="0"/>
          <w:numId w:val="4"/>
        </w:numPr>
        <w:spacing w:line="400" w:lineRule="exact"/>
        <w:ind w:firstLine="600" w:firstLineChars="250"/>
        <w:rPr>
          <w:rFonts w:hint="eastAsia" w:ascii="宋体"/>
          <w:sz w:val="24"/>
          <w:lang w:val="zh-CN"/>
        </w:rPr>
      </w:pPr>
      <w:r>
        <w:rPr>
          <w:rFonts w:hint="eastAsia" w:ascii="宋体"/>
          <w:sz w:val="24"/>
          <w:lang w:val="zh-CN"/>
        </w:rPr>
        <w:t xml:space="preserve"> “投标报价明细表”中的投标总报价应与“开标一览表”中的投标总报价相一致，不一致时，以开标一览表为准。</w:t>
      </w:r>
    </w:p>
    <w:p>
      <w:pPr>
        <w:adjustRightInd w:val="0"/>
        <w:spacing w:line="400" w:lineRule="exact"/>
        <w:ind w:firstLine="600" w:firstLineChars="250"/>
        <w:textAlignment w:val="baseline"/>
        <w:rPr>
          <w:rFonts w:ascii="宋体"/>
          <w:b/>
          <w:sz w:val="24"/>
          <w:lang w:val="zh-CN"/>
        </w:rPr>
      </w:pPr>
      <w:r>
        <w:rPr>
          <w:rFonts w:hint="eastAsia" w:ascii="宋体"/>
          <w:sz w:val="24"/>
          <w:lang w:val="zh-CN"/>
        </w:rPr>
        <w:t>2、投标报价明细表所填内容按招标文件采购设备清单要求为准。如有漏报的，视同已包含在投标总价内或已作优惠处理。</w:t>
      </w:r>
      <w:r>
        <w:rPr>
          <w:rFonts w:hint="eastAsia" w:ascii="宋体"/>
          <w:b/>
          <w:sz w:val="24"/>
          <w:lang w:val="zh-CN"/>
        </w:rPr>
        <w:t>有重大缺项的将作无效标处理。</w:t>
      </w:r>
    </w:p>
    <w:p>
      <w:pPr>
        <w:spacing w:line="400" w:lineRule="exact"/>
        <w:ind w:firstLine="600" w:firstLineChars="250"/>
        <w:rPr>
          <w:rFonts w:ascii="宋体"/>
          <w:sz w:val="24"/>
          <w:lang w:val="zh-CN"/>
        </w:rPr>
      </w:pPr>
      <w:r>
        <w:rPr>
          <w:rFonts w:hint="eastAsia" w:ascii="宋体"/>
          <w:sz w:val="24"/>
          <w:lang w:val="zh-CN"/>
        </w:rPr>
        <w:t>3、表格中除空白部分由投标人自报外，其余内容不得变更。</w:t>
      </w:r>
    </w:p>
    <w:p>
      <w:pPr>
        <w:spacing w:line="400" w:lineRule="exact"/>
        <w:ind w:firstLine="602" w:firstLineChars="250"/>
        <w:rPr>
          <w:rFonts w:ascii="宋体"/>
          <w:b/>
          <w:sz w:val="24"/>
          <w:lang w:val="zh-CN"/>
        </w:rPr>
      </w:pPr>
      <w:r>
        <w:rPr>
          <w:rFonts w:hint="eastAsia" w:ascii="宋体"/>
          <w:b/>
          <w:sz w:val="24"/>
          <w:lang w:val="zh-CN"/>
        </w:rPr>
        <w:t>4、产品规格参数及数量等以招标文件中设备采购清单为准。业主提供的产品数量均为暂定，所标注的产品规格都为成品规格。结算数量按实际完成数量为准。</w:t>
      </w:r>
    </w:p>
    <w:p>
      <w:pPr>
        <w:wordWrap w:val="0"/>
        <w:adjustRightInd w:val="0"/>
        <w:spacing w:line="360" w:lineRule="atLeast"/>
        <w:textAlignment w:val="baseline"/>
        <w:rPr>
          <w:rFonts w:ascii="宋体" w:eastAsia="Times New Roman"/>
          <w:szCs w:val="21"/>
          <w:lang w:val="zh-CN"/>
        </w:rPr>
      </w:pPr>
    </w:p>
    <w:p>
      <w:pPr>
        <w:pStyle w:val="2"/>
        <w:rPr>
          <w:rFonts w:hint="eastAsia" w:eastAsiaTheme="minorEastAsia"/>
          <w:sz w:val="21"/>
          <w:szCs w:val="21"/>
          <w:lang w:val="zh-CN"/>
        </w:rPr>
      </w:pPr>
    </w:p>
    <w:p>
      <w:pPr>
        <w:pStyle w:val="2"/>
        <w:rPr>
          <w:rFonts w:hint="eastAsia" w:eastAsiaTheme="minorEastAsia"/>
          <w:sz w:val="21"/>
          <w:szCs w:val="21"/>
          <w:lang w:val="zh-CN"/>
        </w:rPr>
      </w:pPr>
    </w:p>
    <w:p>
      <w:pPr>
        <w:pStyle w:val="2"/>
        <w:ind w:right="1200"/>
        <w:jc w:val="right"/>
        <w:rPr>
          <w:rFonts w:hint="eastAsia" w:asciiTheme="minorEastAsia" w:hAnsiTheme="minorEastAsia" w:eastAsiaTheme="minorEastAsia"/>
          <w:lang w:val="zh-CN"/>
        </w:rPr>
      </w:pPr>
      <w:r>
        <w:rPr>
          <w:rFonts w:hint="eastAsia" w:asciiTheme="minorEastAsia" w:hAnsiTheme="minorEastAsia" w:eastAsiaTheme="minorEastAsia"/>
          <w:lang w:val="zh-CN"/>
        </w:rPr>
        <w:t>投标人（盖章）：</w:t>
      </w:r>
    </w:p>
    <w:p>
      <w:pPr>
        <w:pStyle w:val="2"/>
        <w:jc w:val="right"/>
        <w:rPr>
          <w:rFonts w:hint="eastAsia" w:asciiTheme="minorEastAsia" w:hAnsiTheme="minorEastAsia" w:eastAsiaTheme="minorEastAsia"/>
          <w:lang w:val="zh-CN"/>
        </w:rPr>
      </w:pPr>
      <w:r>
        <w:rPr>
          <w:rFonts w:hint="eastAsia" w:asciiTheme="minorEastAsia" w:hAnsiTheme="minorEastAsia" w:eastAsiaTheme="minorEastAsia"/>
          <w:lang w:val="zh-CN"/>
        </w:rPr>
        <w:t xml:space="preserve">法定代表人或授权委托人（签字或盖章）：                                                </w:t>
      </w:r>
    </w:p>
    <w:p>
      <w:pPr>
        <w:pStyle w:val="2"/>
        <w:ind w:right="960"/>
        <w:jc w:val="right"/>
        <w:rPr>
          <w:rFonts w:asciiTheme="minorEastAsia" w:hAnsiTheme="minorEastAsia" w:eastAsiaTheme="minorEastAsia"/>
        </w:rPr>
        <w:sectPr>
          <w:pgSz w:w="16838" w:h="11906" w:orient="landscape"/>
          <w:pgMar w:top="1361" w:right="1361" w:bottom="1361" w:left="1361" w:header="851" w:footer="992" w:gutter="0"/>
          <w:cols w:space="425" w:num="1"/>
          <w:docGrid w:linePitch="312" w:charSpace="0"/>
        </w:sectPr>
      </w:pPr>
      <w:r>
        <w:rPr>
          <w:rFonts w:hint="eastAsia" w:asciiTheme="minorEastAsia" w:hAnsiTheme="minorEastAsia" w:eastAsiaTheme="minorEastAsia"/>
          <w:lang w:val="zh-CN"/>
        </w:rPr>
        <w:t>日期：   年   月</w:t>
      </w:r>
      <w:r>
        <w:rPr>
          <w:rFonts w:hint="eastAsia" w:asciiTheme="minorEastAsia" w:hAnsiTheme="minorEastAsia" w:eastAsiaTheme="minorEastAsia"/>
        </w:rPr>
        <w:t xml:space="preserve">  日</w:t>
      </w:r>
    </w:p>
    <w:p>
      <w:pPr>
        <w:pStyle w:val="4"/>
        <w:rPr>
          <w:rFonts w:hint="eastAsia" w:asciiTheme="majorEastAsia" w:hAnsiTheme="majorEastAsia"/>
        </w:rPr>
      </w:pPr>
      <w:bookmarkStart w:id="59" w:name="_Toc19880442"/>
      <w:r>
        <w:rPr>
          <w:rFonts w:hint="eastAsia" w:asciiTheme="majorEastAsia" w:hAnsiTheme="majorEastAsia"/>
        </w:rPr>
        <w:t>附件12</w:t>
      </w:r>
      <w:bookmarkEnd w:id="59"/>
    </w:p>
    <w:p>
      <w:pPr>
        <w:pStyle w:val="10"/>
        <w:adjustRightInd w:val="0"/>
        <w:snapToGrid w:val="0"/>
        <w:spacing w:line="360" w:lineRule="auto"/>
        <w:jc w:val="center"/>
        <w:rPr>
          <w:rFonts w:hAnsi="宋体"/>
          <w:b/>
          <w:color w:val="000000"/>
          <w:sz w:val="32"/>
          <w:szCs w:val="32"/>
        </w:rPr>
      </w:pPr>
      <w:r>
        <w:rPr>
          <w:rFonts w:hint="eastAsia" w:hAnsi="宋体"/>
          <w:b/>
          <w:color w:val="000000"/>
          <w:sz w:val="32"/>
          <w:szCs w:val="32"/>
        </w:rPr>
        <w:t>商务及技术响应表</w:t>
      </w:r>
    </w:p>
    <w:p>
      <w:pPr>
        <w:pStyle w:val="10"/>
        <w:adjustRightInd w:val="0"/>
        <w:snapToGrid w:val="0"/>
        <w:spacing w:line="360" w:lineRule="auto"/>
        <w:jc w:val="left"/>
        <w:rPr>
          <w:rFonts w:hint="eastAsia" w:hAnsi="宋体"/>
          <w:b/>
          <w:bCs/>
          <w:color w:val="000000"/>
          <w:sz w:val="24"/>
        </w:rPr>
      </w:pPr>
      <w:r>
        <w:rPr>
          <w:rFonts w:hint="eastAsia" w:hAnsi="宋体"/>
          <w:b/>
          <w:bCs/>
          <w:color w:val="000000"/>
          <w:sz w:val="24"/>
        </w:rPr>
        <w:t>项目名称</w:t>
      </w:r>
    </w:p>
    <w:p>
      <w:pPr>
        <w:pStyle w:val="10"/>
        <w:adjustRightInd w:val="0"/>
        <w:snapToGrid w:val="0"/>
        <w:spacing w:line="360" w:lineRule="auto"/>
        <w:jc w:val="left"/>
        <w:rPr>
          <w:rFonts w:hAnsi="宋体" w:cs="Arial"/>
          <w:b/>
          <w:color w:val="000000"/>
          <w:sz w:val="24"/>
        </w:rPr>
      </w:pPr>
      <w:r>
        <w:rPr>
          <w:rFonts w:hint="eastAsia" w:hAnsi="宋体"/>
          <w:b/>
          <w:bCs/>
          <w:color w:val="000000"/>
          <w:sz w:val="24"/>
        </w:rPr>
        <w:t>项目编号：</w:t>
      </w:r>
    </w:p>
    <w:tbl>
      <w:tblPr>
        <w:tblStyle w:val="18"/>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tblPrEx>
          <w:tblLayout w:type="fixed"/>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内容</w:t>
            </w:r>
          </w:p>
        </w:tc>
        <w:tc>
          <w:tcPr>
            <w:tcW w:w="2160"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投标文件产品技术要求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投标响应文件产品技术响应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偏离情况</w:t>
            </w:r>
          </w:p>
        </w:tc>
      </w:tr>
      <w:tr>
        <w:tblPrEx>
          <w:tblLayout w:type="fixed"/>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工期</w:t>
            </w:r>
          </w:p>
        </w:tc>
        <w:tc>
          <w:tcPr>
            <w:tcW w:w="2160" w:type="dxa"/>
            <w:tcBorders>
              <w:top w:val="single" w:color="auto" w:sz="4" w:space="0"/>
              <w:left w:val="single" w:color="auto" w:sz="4" w:space="0"/>
              <w:bottom w:val="single" w:color="auto" w:sz="4" w:space="0"/>
              <w:right w:val="single" w:color="auto" w:sz="4" w:space="0"/>
            </w:tcBorders>
          </w:tcPr>
          <w:p>
            <w:pPr>
              <w:pStyle w:val="10"/>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olor w:val="000000"/>
                <w:spacing w:val="20"/>
                <w:sz w:val="24"/>
              </w:rPr>
            </w:pPr>
          </w:p>
        </w:tc>
      </w:tr>
      <w:tr>
        <w:tblPrEx>
          <w:tblLayout w:type="fixed"/>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质保期</w:t>
            </w:r>
          </w:p>
        </w:tc>
        <w:tc>
          <w:tcPr>
            <w:tcW w:w="2160" w:type="dxa"/>
            <w:tcBorders>
              <w:top w:val="single" w:color="auto" w:sz="4" w:space="0"/>
              <w:left w:val="single" w:color="auto" w:sz="4" w:space="0"/>
              <w:bottom w:val="single" w:color="auto" w:sz="4" w:space="0"/>
              <w:right w:val="single" w:color="auto" w:sz="4" w:space="0"/>
            </w:tcBorders>
          </w:tcPr>
          <w:p>
            <w:pPr>
              <w:pStyle w:val="10"/>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olor w:val="000000"/>
                <w:spacing w:val="20"/>
                <w:sz w:val="24"/>
              </w:rPr>
            </w:pPr>
          </w:p>
        </w:tc>
      </w:tr>
      <w:tr>
        <w:tblPrEx>
          <w:tblLayout w:type="fixed"/>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付款方式</w:t>
            </w:r>
          </w:p>
        </w:tc>
        <w:tc>
          <w:tcPr>
            <w:tcW w:w="2160" w:type="dxa"/>
            <w:tcBorders>
              <w:top w:val="single" w:color="auto" w:sz="4" w:space="0"/>
              <w:left w:val="single" w:color="auto" w:sz="4" w:space="0"/>
              <w:bottom w:val="single" w:color="auto" w:sz="4" w:space="0"/>
              <w:right w:val="single" w:color="auto" w:sz="4" w:space="0"/>
            </w:tcBorders>
          </w:tcPr>
          <w:p>
            <w:pPr>
              <w:pStyle w:val="10"/>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olor w:val="000000"/>
                <w:spacing w:val="20"/>
                <w:sz w:val="24"/>
              </w:rPr>
            </w:pPr>
          </w:p>
        </w:tc>
      </w:tr>
      <w:tr>
        <w:tblPrEx>
          <w:tblLayout w:type="fixed"/>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w:t>
            </w:r>
          </w:p>
        </w:tc>
        <w:tc>
          <w:tcPr>
            <w:tcW w:w="2160" w:type="dxa"/>
            <w:tcBorders>
              <w:top w:val="single" w:color="auto" w:sz="4" w:space="0"/>
              <w:left w:val="single" w:color="auto" w:sz="4" w:space="0"/>
              <w:bottom w:val="single" w:color="auto" w:sz="4" w:space="0"/>
              <w:right w:val="single" w:color="auto" w:sz="4" w:space="0"/>
            </w:tcBorders>
          </w:tcPr>
          <w:p>
            <w:pPr>
              <w:pStyle w:val="10"/>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olor w:val="000000"/>
                <w:spacing w:val="20"/>
                <w:sz w:val="24"/>
              </w:rPr>
            </w:pPr>
          </w:p>
        </w:tc>
      </w:tr>
      <w:tr>
        <w:tblPrEx>
          <w:tblLayout w:type="fixed"/>
          <w:tblCellMar>
            <w:top w:w="0" w:type="dxa"/>
            <w:left w:w="108" w:type="dxa"/>
            <w:bottom w:w="0" w:type="dxa"/>
            <w:right w:w="108" w:type="dxa"/>
          </w:tblCellMar>
        </w:tblPrEx>
        <w:trPr>
          <w:trHeight w:val="519" w:hRule="atLeast"/>
        </w:trPr>
        <w:tc>
          <w:tcPr>
            <w:tcW w:w="1202" w:type="dxa"/>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 w:val="24"/>
              </w:rPr>
            </w:pPr>
          </w:p>
        </w:tc>
        <w:tc>
          <w:tcPr>
            <w:tcW w:w="2160" w:type="dxa"/>
            <w:tcBorders>
              <w:top w:val="single" w:color="auto" w:sz="4" w:space="0"/>
              <w:left w:val="single" w:color="auto" w:sz="4" w:space="0"/>
              <w:bottom w:val="single" w:color="auto" w:sz="4" w:space="0"/>
              <w:right w:val="single" w:color="auto" w:sz="4" w:space="0"/>
            </w:tcBorders>
          </w:tcPr>
          <w:p>
            <w:pPr>
              <w:pStyle w:val="10"/>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olor w:val="000000"/>
                <w:spacing w:val="20"/>
                <w:sz w:val="24"/>
              </w:rPr>
            </w:pPr>
          </w:p>
        </w:tc>
      </w:tr>
      <w:tr>
        <w:tblPrEx>
          <w:tblLayout w:type="fixed"/>
          <w:tblCellMar>
            <w:top w:w="0" w:type="dxa"/>
            <w:left w:w="108" w:type="dxa"/>
            <w:bottom w:w="0" w:type="dxa"/>
            <w:right w:w="108" w:type="dxa"/>
          </w:tblCellMar>
        </w:tblPrEx>
        <w:trPr>
          <w:trHeight w:val="519" w:hRule="atLeast"/>
        </w:trPr>
        <w:tc>
          <w:tcPr>
            <w:tcW w:w="1202" w:type="dxa"/>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 w:val="24"/>
              </w:rPr>
            </w:pPr>
          </w:p>
        </w:tc>
        <w:tc>
          <w:tcPr>
            <w:tcW w:w="2160" w:type="dxa"/>
            <w:tcBorders>
              <w:top w:val="single" w:color="auto" w:sz="4" w:space="0"/>
              <w:left w:val="single" w:color="auto" w:sz="4" w:space="0"/>
              <w:bottom w:val="single" w:color="auto" w:sz="4" w:space="0"/>
              <w:right w:val="single" w:color="auto" w:sz="4" w:space="0"/>
            </w:tcBorders>
          </w:tcPr>
          <w:p>
            <w:pPr>
              <w:pStyle w:val="10"/>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olor w:val="000000"/>
                <w:spacing w:val="20"/>
                <w:sz w:val="24"/>
              </w:rPr>
            </w:pPr>
          </w:p>
        </w:tc>
      </w:tr>
      <w:tr>
        <w:tblPrEx>
          <w:tblLayout w:type="fixed"/>
          <w:tblCellMar>
            <w:top w:w="0" w:type="dxa"/>
            <w:left w:w="108" w:type="dxa"/>
            <w:bottom w:w="0" w:type="dxa"/>
            <w:right w:w="108" w:type="dxa"/>
          </w:tblCellMar>
        </w:tblPrEx>
        <w:trPr>
          <w:trHeight w:val="519" w:hRule="atLeast"/>
        </w:trPr>
        <w:tc>
          <w:tcPr>
            <w:tcW w:w="1202" w:type="dxa"/>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 w:val="24"/>
              </w:rPr>
            </w:pPr>
          </w:p>
        </w:tc>
        <w:tc>
          <w:tcPr>
            <w:tcW w:w="2160" w:type="dxa"/>
            <w:tcBorders>
              <w:top w:val="single" w:color="auto" w:sz="4" w:space="0"/>
              <w:left w:val="single" w:color="auto" w:sz="4" w:space="0"/>
              <w:bottom w:val="single" w:color="auto" w:sz="4" w:space="0"/>
              <w:right w:val="single" w:color="auto" w:sz="4" w:space="0"/>
            </w:tcBorders>
          </w:tcPr>
          <w:p>
            <w:pPr>
              <w:pStyle w:val="10"/>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olor w:val="000000"/>
                <w:spacing w:val="20"/>
                <w:sz w:val="24"/>
              </w:rPr>
            </w:pPr>
          </w:p>
        </w:tc>
      </w:tr>
      <w:tr>
        <w:tblPrEx>
          <w:tblLayout w:type="fixed"/>
          <w:tblCellMar>
            <w:top w:w="0" w:type="dxa"/>
            <w:left w:w="108" w:type="dxa"/>
            <w:bottom w:w="0" w:type="dxa"/>
            <w:right w:w="108" w:type="dxa"/>
          </w:tblCellMar>
        </w:tblPrEx>
        <w:trPr>
          <w:trHeight w:val="519" w:hRule="atLeast"/>
        </w:trPr>
        <w:tc>
          <w:tcPr>
            <w:tcW w:w="1202" w:type="dxa"/>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 w:val="24"/>
              </w:rPr>
            </w:pPr>
          </w:p>
        </w:tc>
        <w:tc>
          <w:tcPr>
            <w:tcW w:w="2160" w:type="dxa"/>
            <w:tcBorders>
              <w:top w:val="single" w:color="auto" w:sz="4" w:space="0"/>
              <w:left w:val="single" w:color="auto" w:sz="4" w:space="0"/>
              <w:bottom w:val="single" w:color="auto" w:sz="4" w:space="0"/>
              <w:right w:val="single" w:color="auto" w:sz="4" w:space="0"/>
            </w:tcBorders>
          </w:tcPr>
          <w:p>
            <w:pPr>
              <w:pStyle w:val="10"/>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olor w:val="000000"/>
                <w:spacing w:val="20"/>
                <w:sz w:val="24"/>
              </w:rPr>
            </w:pPr>
          </w:p>
        </w:tc>
      </w:tr>
      <w:tr>
        <w:tblPrEx>
          <w:tblLayout w:type="fixed"/>
          <w:tblCellMar>
            <w:top w:w="0" w:type="dxa"/>
            <w:left w:w="108" w:type="dxa"/>
            <w:bottom w:w="0" w:type="dxa"/>
            <w:right w:w="108" w:type="dxa"/>
          </w:tblCellMar>
        </w:tblPrEx>
        <w:trPr>
          <w:trHeight w:val="519" w:hRule="atLeast"/>
        </w:trPr>
        <w:tc>
          <w:tcPr>
            <w:tcW w:w="1202" w:type="dxa"/>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 w:val="24"/>
              </w:rPr>
            </w:pPr>
          </w:p>
        </w:tc>
        <w:tc>
          <w:tcPr>
            <w:tcW w:w="2160" w:type="dxa"/>
            <w:tcBorders>
              <w:top w:val="single" w:color="auto" w:sz="4" w:space="0"/>
              <w:left w:val="single" w:color="auto" w:sz="4" w:space="0"/>
              <w:bottom w:val="single" w:color="auto" w:sz="4" w:space="0"/>
              <w:right w:val="single" w:color="auto" w:sz="4" w:space="0"/>
            </w:tcBorders>
          </w:tcPr>
          <w:p>
            <w:pPr>
              <w:pStyle w:val="10"/>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olor w:val="000000"/>
                <w:spacing w:val="20"/>
                <w:sz w:val="24"/>
              </w:rPr>
            </w:pPr>
          </w:p>
        </w:tc>
      </w:tr>
      <w:tr>
        <w:tblPrEx>
          <w:tblLayout w:type="fixed"/>
          <w:tblCellMar>
            <w:top w:w="0" w:type="dxa"/>
            <w:left w:w="108" w:type="dxa"/>
            <w:bottom w:w="0" w:type="dxa"/>
            <w:right w:w="108" w:type="dxa"/>
          </w:tblCellMar>
        </w:tblPrEx>
        <w:trPr>
          <w:trHeight w:val="519" w:hRule="atLeast"/>
        </w:trPr>
        <w:tc>
          <w:tcPr>
            <w:tcW w:w="1202" w:type="dxa"/>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 w:val="24"/>
              </w:rPr>
            </w:pPr>
          </w:p>
        </w:tc>
        <w:tc>
          <w:tcPr>
            <w:tcW w:w="2160" w:type="dxa"/>
            <w:tcBorders>
              <w:top w:val="single" w:color="auto" w:sz="4" w:space="0"/>
              <w:left w:val="single" w:color="auto" w:sz="4" w:space="0"/>
              <w:bottom w:val="single" w:color="auto" w:sz="4" w:space="0"/>
              <w:right w:val="single" w:color="auto" w:sz="4" w:space="0"/>
            </w:tcBorders>
          </w:tcPr>
          <w:p>
            <w:pPr>
              <w:pStyle w:val="10"/>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olor w:val="000000"/>
                <w:spacing w:val="20"/>
                <w:sz w:val="24"/>
              </w:rPr>
            </w:pPr>
          </w:p>
        </w:tc>
      </w:tr>
    </w:tbl>
    <w:p>
      <w:pPr>
        <w:pStyle w:val="2"/>
        <w:ind w:right="1920"/>
        <w:rPr>
          <w:rFonts w:hint="eastAsia" w:asciiTheme="minorEastAsia" w:hAnsiTheme="minorEastAsia" w:eastAsiaTheme="minorEastAsia"/>
        </w:rPr>
      </w:pPr>
    </w:p>
    <w:p>
      <w:pPr>
        <w:pStyle w:val="2"/>
        <w:ind w:right="1920"/>
        <w:rPr>
          <w:rFonts w:hint="eastAsia" w:asciiTheme="minorEastAsia" w:hAnsiTheme="minorEastAsia" w:eastAsiaTheme="minorEastAsia"/>
        </w:rPr>
      </w:pPr>
    </w:p>
    <w:p>
      <w:pPr>
        <w:pStyle w:val="2"/>
        <w:ind w:right="1920"/>
        <w:rPr>
          <w:rFonts w:hint="eastAsia" w:asciiTheme="minorEastAsia" w:hAnsiTheme="minorEastAsia" w:eastAsiaTheme="minorEastAsia"/>
        </w:rPr>
      </w:pPr>
    </w:p>
    <w:p>
      <w:pPr>
        <w:pStyle w:val="10"/>
        <w:spacing w:line="560" w:lineRule="exact"/>
        <w:ind w:firstLine="5520" w:firstLineChars="2300"/>
        <w:rPr>
          <w:rFonts w:hAnsi="宋体"/>
          <w:sz w:val="24"/>
          <w:lang w:val="zh-CN"/>
        </w:rPr>
      </w:pPr>
      <w:r>
        <w:rPr>
          <w:rFonts w:hAnsi="宋体"/>
          <w:sz w:val="24"/>
          <w:lang w:val="zh-CN"/>
        </w:rPr>
        <w:t>投标人（盖单位章）：</w:t>
      </w:r>
    </w:p>
    <w:p>
      <w:pPr>
        <w:pStyle w:val="10"/>
        <w:spacing w:line="560" w:lineRule="exact"/>
        <w:ind w:firstLine="3600" w:firstLineChars="1500"/>
        <w:rPr>
          <w:rFonts w:hAnsi="宋体"/>
          <w:sz w:val="24"/>
          <w:lang w:val="zh-CN"/>
        </w:rPr>
      </w:pPr>
      <w:r>
        <w:rPr>
          <w:rFonts w:hAnsi="宋体"/>
          <w:sz w:val="24"/>
          <w:lang w:val="zh-CN"/>
        </w:rPr>
        <w:t>法定代表人或</w:t>
      </w:r>
      <w:r>
        <w:rPr>
          <w:rFonts w:hint="eastAsia" w:hAnsi="宋体"/>
          <w:sz w:val="24"/>
          <w:lang w:val="zh-CN"/>
        </w:rPr>
        <w:t>全权代表</w:t>
      </w:r>
      <w:r>
        <w:rPr>
          <w:rFonts w:hAnsi="宋体"/>
          <w:sz w:val="24"/>
          <w:lang w:val="zh-CN"/>
        </w:rPr>
        <w:t>（盖章或签字）：</w:t>
      </w:r>
    </w:p>
    <w:p>
      <w:pPr>
        <w:pStyle w:val="10"/>
        <w:spacing w:line="560" w:lineRule="exact"/>
        <w:rPr>
          <w:rFonts w:hint="eastAsia" w:hAnsi="宋体"/>
          <w:sz w:val="24"/>
          <w:lang w:val="zh-CN"/>
        </w:rPr>
      </w:pPr>
      <w:r>
        <w:rPr>
          <w:rFonts w:hAnsi="宋体"/>
          <w:sz w:val="24"/>
          <w:lang w:val="zh-CN"/>
        </w:rPr>
        <w:t xml:space="preserve">                                   </w:t>
      </w:r>
      <w:r>
        <w:rPr>
          <w:rFonts w:hint="eastAsia" w:hAnsi="宋体"/>
          <w:sz w:val="24"/>
          <w:lang w:val="zh-CN"/>
        </w:rPr>
        <w:t xml:space="preserve">                        </w:t>
      </w:r>
      <w:r>
        <w:rPr>
          <w:rFonts w:hAnsi="宋体"/>
          <w:sz w:val="24"/>
          <w:lang w:val="zh-CN"/>
        </w:rPr>
        <w:t>日</w:t>
      </w:r>
      <w:r>
        <w:rPr>
          <w:rFonts w:hint="eastAsia" w:hAnsi="宋体"/>
          <w:sz w:val="24"/>
          <w:lang w:val="zh-CN"/>
        </w:rPr>
        <w:t xml:space="preserve"> </w:t>
      </w:r>
      <w:r>
        <w:rPr>
          <w:rFonts w:hAnsi="宋体"/>
          <w:sz w:val="24"/>
          <w:lang w:val="zh-CN"/>
        </w:rPr>
        <w:t>期：</w:t>
      </w:r>
    </w:p>
    <w:p/>
    <w:sectPr>
      <w:pgSz w:w="11906" w:h="16838"/>
      <w:pgMar w:top="1361" w:right="1361" w:bottom="1361"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华文行楷">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216286"/>
      <w:docPartObj>
        <w:docPartGallery w:val="autotext"/>
      </w:docPartObj>
    </w:sdtPr>
    <w:sdtContent>
      <w:p>
        <w:pPr>
          <w:pStyle w:val="1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3"/>
                  <w:jc w:val="center"/>
                </w:pPr>
                <w:r>
                  <w:fldChar w:fldCharType="begin"/>
                </w:r>
                <w:r>
                  <w:rPr>
                    <w:rStyle w:val="20"/>
                  </w:rPr>
                  <w:instrText xml:space="preserve"> PAGE </w:instrText>
                </w:r>
                <w:r>
                  <w:fldChar w:fldCharType="separate"/>
                </w:r>
                <w:r>
                  <w:rPr>
                    <w:rStyle w:val="20"/>
                  </w:rPr>
                  <w:t>71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end"/>
    </w:r>
  </w:p>
  <w:p>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u w:val="single"/>
      </w:rPr>
    </w:pPr>
    <w:r>
      <w:rPr>
        <w:rFonts w:hint="eastAsia"/>
        <w:u w:val="single"/>
      </w:rPr>
      <w:t xml:space="preserve">                                                                            </w:t>
    </w:r>
    <w:r>
      <w:rPr>
        <w:u w:val="single"/>
      </w:rPr>
      <w:fldChar w:fldCharType="begin"/>
    </w:r>
    <w:r>
      <w:rPr>
        <w:rStyle w:val="20"/>
        <w:u w:val="single"/>
      </w:rPr>
      <w:instrText xml:space="preserve"> PAGE </w:instrText>
    </w:r>
    <w:r>
      <w:rPr>
        <w:u w:val="single"/>
      </w:rPr>
      <w:fldChar w:fldCharType="separate"/>
    </w:r>
    <w:r>
      <w:rPr>
        <w:rStyle w:val="20"/>
        <w:u w:val="single"/>
      </w:rPr>
      <w:t>65</w:t>
    </w:r>
    <w:r>
      <w:rPr>
        <w:u w:val="single"/>
      </w:rPr>
      <w:fldChar w:fldCharType="end"/>
    </w:r>
    <w:r>
      <w:rPr>
        <w:rFonts w:hint="eastAsia"/>
        <w:u w:val="single"/>
      </w:rPr>
      <w:t xml:space="preserve">                                                                                                          </w:t>
    </w:r>
  </w:p>
  <w:p>
    <w:pPr>
      <w:pStyle w:val="13"/>
      <w:jc w:val="center"/>
    </w:pPr>
    <w:r>
      <w:rPr>
        <w:rFonts w:hint="eastAsia"/>
      </w:rPr>
      <w:t>三门县公共资源交易中心编制</w:t>
    </w:r>
    <w:r>
      <w:rPr>
        <w:rFonts w:hint="eastAsia"/>
      </w:rPr>
      <w:drawing>
        <wp:anchor distT="0" distB="0" distL="114300" distR="114300" simplePos="0" relativeHeight="251660288" behindDoc="0" locked="0" layoutInCell="1" allowOverlap="1">
          <wp:simplePos x="0" y="0"/>
          <wp:positionH relativeFrom="column">
            <wp:posOffset>3667125</wp:posOffset>
          </wp:positionH>
          <wp:positionV relativeFrom="paragraph">
            <wp:posOffset>3133725</wp:posOffset>
          </wp:positionV>
          <wp:extent cx="272415" cy="202565"/>
          <wp:effectExtent l="0" t="0" r="13335" b="6985"/>
          <wp:wrapNone/>
          <wp:docPr id="2" name="图片 1"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about_B"/>
                  <pic:cNvPicPr>
                    <a:picLocks noChangeAspect="1"/>
                  </pic:cNvPicPr>
                </pic:nvPicPr>
                <pic:blipFill>
                  <a:blip r:embed="rId1"/>
                  <a:stretch>
                    <a:fillRect/>
                  </a:stretch>
                </pic:blipFill>
                <pic:spPr>
                  <a:xfrm>
                    <a:off x="0" y="0"/>
                    <a:ext cx="272415" cy="202565"/>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bCs/>
      </w:rPr>
      <w:drawing>
        <wp:inline distT="0" distB="0" distL="114300" distR="114300">
          <wp:extent cx="1370330" cy="220345"/>
          <wp:effectExtent l="0" t="0" r="1270" b="8255"/>
          <wp:docPr id="7" name="图片 1" descr="LOGO建科新方案共2页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LOGO建科新方案共2页副本"/>
                  <pic:cNvPicPr>
                    <a:picLocks noChangeAspect="1"/>
                  </pic:cNvPicPr>
                </pic:nvPicPr>
                <pic:blipFill>
                  <a:blip r:embed="rId1"/>
                  <a:stretch>
                    <a:fillRect/>
                  </a:stretch>
                </pic:blipFill>
                <pic:spPr>
                  <a:xfrm>
                    <a:off x="0" y="0"/>
                    <a:ext cx="1370330" cy="220345"/>
                  </a:xfrm>
                  <a:prstGeom prst="rect">
                    <a:avLst/>
                  </a:prstGeom>
                  <a:noFill/>
                  <a:ln>
                    <a:noFill/>
                  </a:ln>
                </pic:spPr>
              </pic:pic>
            </a:graphicData>
          </a:graphic>
        </wp:inline>
      </w:drawing>
    </w:r>
    <w:r>
      <w:rPr>
        <w:rFonts w:hint="eastAsia"/>
        <w:bCs/>
      </w:rPr>
      <w:t xml:space="preserve">          国网三门县供电公司物流中心标准化仓库弱电及排烟系统改造项目招标文件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D8F7B"/>
    <w:multiLevelType w:val="singleLevel"/>
    <w:tmpl w:val="AE2D8F7B"/>
    <w:lvl w:ilvl="0" w:tentative="0">
      <w:start w:val="1"/>
      <w:numFmt w:val="decimal"/>
      <w:pStyle w:val="6"/>
      <w:lvlText w:val="%1."/>
      <w:lvlJc w:val="left"/>
      <w:pPr>
        <w:tabs>
          <w:tab w:val="left" w:pos="360"/>
        </w:tabs>
        <w:ind w:left="360" w:hanging="360"/>
      </w:pPr>
    </w:lvl>
  </w:abstractNum>
  <w:abstractNum w:abstractNumId="1">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2">
    <w:nsid w:val="16C0F94B"/>
    <w:multiLevelType w:val="singleLevel"/>
    <w:tmpl w:val="16C0F94B"/>
    <w:lvl w:ilvl="0" w:tentative="0">
      <w:start w:val="1"/>
      <w:numFmt w:val="decimal"/>
      <w:suff w:val="nothing"/>
      <w:lvlText w:val="%1、"/>
      <w:lvlJc w:val="left"/>
    </w:lvl>
  </w:abstractNum>
  <w:abstractNum w:abstractNumId="3">
    <w:nsid w:val="7C313457"/>
    <w:multiLevelType w:val="multilevel"/>
    <w:tmpl w:val="7C31345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C36EA"/>
    <w:rsid w:val="00072E6C"/>
    <w:rsid w:val="00075A3F"/>
    <w:rsid w:val="00085D6F"/>
    <w:rsid w:val="0014231B"/>
    <w:rsid w:val="00183628"/>
    <w:rsid w:val="0018573A"/>
    <w:rsid w:val="002069C2"/>
    <w:rsid w:val="002E1EA6"/>
    <w:rsid w:val="00307BE1"/>
    <w:rsid w:val="004414F8"/>
    <w:rsid w:val="00446437"/>
    <w:rsid w:val="00516318"/>
    <w:rsid w:val="005C36EA"/>
    <w:rsid w:val="00611D30"/>
    <w:rsid w:val="006C7568"/>
    <w:rsid w:val="00733952"/>
    <w:rsid w:val="00757F2D"/>
    <w:rsid w:val="00A013D7"/>
    <w:rsid w:val="00A77BEA"/>
    <w:rsid w:val="00AD018D"/>
    <w:rsid w:val="00B91CF1"/>
    <w:rsid w:val="00BD3945"/>
    <w:rsid w:val="00CB54A5"/>
    <w:rsid w:val="00DD1CA4"/>
    <w:rsid w:val="00E304BD"/>
    <w:rsid w:val="00F878FD"/>
    <w:rsid w:val="07CD55CB"/>
    <w:rsid w:val="0C496452"/>
    <w:rsid w:val="1AD60828"/>
    <w:rsid w:val="1E2E3A18"/>
    <w:rsid w:val="212912CE"/>
    <w:rsid w:val="260F106A"/>
    <w:rsid w:val="2DC91B61"/>
    <w:rsid w:val="36A63DC2"/>
    <w:rsid w:val="3E390177"/>
    <w:rsid w:val="48F05114"/>
    <w:rsid w:val="514170A8"/>
    <w:rsid w:val="515A4F1B"/>
    <w:rsid w:val="54954A28"/>
    <w:rsid w:val="681706C1"/>
    <w:rsid w:val="763A4FE1"/>
    <w:rsid w:val="79B27370"/>
    <w:rsid w:val="7F3B5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2"/>
    <w:qFormat/>
    <w:uiPriority w:val="0"/>
    <w:pPr>
      <w:spacing w:line="360" w:lineRule="exact"/>
    </w:pPr>
    <w:rPr>
      <w:sz w:val="24"/>
    </w:rPr>
  </w:style>
  <w:style w:type="paragraph" w:styleId="6">
    <w:name w:val="List Number"/>
    <w:basedOn w:val="1"/>
    <w:qFormat/>
    <w:uiPriority w:val="0"/>
    <w:pPr>
      <w:numPr>
        <w:ilvl w:val="0"/>
        <w:numId w:val="1"/>
      </w:numPr>
    </w:pPr>
  </w:style>
  <w:style w:type="paragraph" w:styleId="7">
    <w:name w:val="Normal Indent"/>
    <w:basedOn w:val="1"/>
    <w:link w:val="32"/>
    <w:qFormat/>
    <w:uiPriority w:val="0"/>
    <w:pPr>
      <w:ind w:firstLine="420"/>
    </w:pPr>
    <w:rPr>
      <w:rFonts w:asciiTheme="minorHAnsi" w:hAnsiTheme="minorHAnsi" w:eastAsiaTheme="minorEastAsia" w:cstheme="minorBidi"/>
      <w:szCs w:val="22"/>
    </w:rPr>
  </w:style>
  <w:style w:type="paragraph" w:styleId="8">
    <w:name w:val="Body Text Indent"/>
    <w:basedOn w:val="1"/>
    <w:link w:val="33"/>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9">
    <w:name w:val="toc 3"/>
    <w:basedOn w:val="1"/>
    <w:next w:val="1"/>
    <w:unhideWhenUsed/>
    <w:qFormat/>
    <w:uiPriority w:val="39"/>
    <w:pPr>
      <w:ind w:left="840" w:leftChars="400"/>
    </w:pPr>
  </w:style>
  <w:style w:type="paragraph" w:styleId="10">
    <w:name w:val="Plain Text"/>
    <w:basedOn w:val="1"/>
    <w:link w:val="27"/>
    <w:qFormat/>
    <w:uiPriority w:val="0"/>
    <w:rPr>
      <w:rFonts w:ascii="宋体" w:hAnsi="Courier New" w:cstheme="minorBidi"/>
    </w:rPr>
  </w:style>
  <w:style w:type="paragraph" w:styleId="11">
    <w:name w:val="Date"/>
    <w:basedOn w:val="1"/>
    <w:next w:val="1"/>
    <w:link w:val="28"/>
    <w:qFormat/>
    <w:uiPriority w:val="0"/>
    <w:pPr>
      <w:ind w:left="2500" w:leftChars="2500"/>
    </w:pPr>
    <w:rPr>
      <w:rFonts w:eastAsia="楷体_GB2312" w:asciiTheme="minorHAnsi" w:hAnsiTheme="minorHAnsi" w:cstheme="minorBidi"/>
      <w:sz w:val="32"/>
      <w:szCs w:val="22"/>
    </w:rPr>
  </w:style>
  <w:style w:type="paragraph" w:styleId="12">
    <w:name w:val="Balloon Text"/>
    <w:basedOn w:val="1"/>
    <w:link w:val="25"/>
    <w:semiHidden/>
    <w:unhideWhenUsed/>
    <w:qFormat/>
    <w:uiPriority w:val="99"/>
    <w:rPr>
      <w:sz w:val="18"/>
      <w:szCs w:val="18"/>
    </w:rPr>
  </w:style>
  <w:style w:type="paragraph" w:styleId="13">
    <w:name w:val="footer"/>
    <w:basedOn w:val="1"/>
    <w:link w:val="24"/>
    <w:unhideWhenUsed/>
    <w:qFormat/>
    <w:uiPriority w:val="0"/>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Normal (Web)"/>
    <w:basedOn w:val="1"/>
    <w:qFormat/>
    <w:uiPriority w:val="99"/>
    <w:pPr>
      <w:widowControl/>
      <w:spacing w:before="100" w:beforeAutospacing="1" w:after="100" w:afterAutospacing="1"/>
      <w:jc w:val="left"/>
    </w:pPr>
    <w:rPr>
      <w:rFonts w:hint="eastAsia" w:ascii="宋体" w:hAnsi="宋体"/>
      <w:kern w:val="0"/>
      <w:sz w:val="24"/>
    </w:rPr>
  </w:style>
  <w:style w:type="character" w:styleId="20">
    <w:name w:val="page number"/>
    <w:basedOn w:val="19"/>
    <w:qFormat/>
    <w:uiPriority w:val="0"/>
  </w:style>
  <w:style w:type="character" w:styleId="21">
    <w:name w:val="Hyperlink"/>
    <w:basedOn w:val="19"/>
    <w:unhideWhenUsed/>
    <w:qFormat/>
    <w:uiPriority w:val="99"/>
    <w:rPr>
      <w:color w:val="0000FF" w:themeColor="hyperlink"/>
      <w:u w:val="single"/>
    </w:rPr>
  </w:style>
  <w:style w:type="character" w:customStyle="1" w:styleId="22">
    <w:name w:val="正文文本 Char"/>
    <w:basedOn w:val="19"/>
    <w:link w:val="2"/>
    <w:qFormat/>
    <w:uiPriority w:val="0"/>
    <w:rPr>
      <w:rFonts w:ascii="Times New Roman" w:hAnsi="Times New Roman" w:eastAsia="宋体" w:cs="Times New Roman"/>
      <w:sz w:val="24"/>
      <w:szCs w:val="24"/>
    </w:rPr>
  </w:style>
  <w:style w:type="character" w:customStyle="1" w:styleId="23">
    <w:name w:val="页眉 Char"/>
    <w:basedOn w:val="19"/>
    <w:link w:val="14"/>
    <w:qFormat/>
    <w:uiPriority w:val="99"/>
    <w:rPr>
      <w:rFonts w:ascii="Times New Roman" w:hAnsi="Times New Roman" w:eastAsia="宋体" w:cs="Times New Roman"/>
      <w:sz w:val="18"/>
      <w:szCs w:val="18"/>
    </w:rPr>
  </w:style>
  <w:style w:type="character" w:customStyle="1" w:styleId="24">
    <w:name w:val="页脚 Char"/>
    <w:basedOn w:val="19"/>
    <w:link w:val="13"/>
    <w:qFormat/>
    <w:uiPriority w:val="99"/>
    <w:rPr>
      <w:rFonts w:ascii="Times New Roman" w:hAnsi="Times New Roman" w:eastAsia="宋体" w:cs="Times New Roman"/>
      <w:sz w:val="18"/>
      <w:szCs w:val="18"/>
    </w:rPr>
  </w:style>
  <w:style w:type="character" w:customStyle="1" w:styleId="25">
    <w:name w:val="批注框文本 Char"/>
    <w:basedOn w:val="19"/>
    <w:link w:val="12"/>
    <w:semiHidden/>
    <w:qFormat/>
    <w:uiPriority w:val="99"/>
    <w:rPr>
      <w:rFonts w:ascii="Times New Roman" w:hAnsi="Times New Roman" w:eastAsia="宋体" w:cs="Times New Roman"/>
      <w:sz w:val="18"/>
      <w:szCs w:val="18"/>
    </w:rPr>
  </w:style>
  <w:style w:type="character" w:customStyle="1" w:styleId="26">
    <w:name w:val="标题 1 Char"/>
    <w:basedOn w:val="19"/>
    <w:link w:val="3"/>
    <w:qFormat/>
    <w:uiPriority w:val="9"/>
    <w:rPr>
      <w:rFonts w:ascii="Times New Roman" w:hAnsi="Times New Roman" w:eastAsia="宋体" w:cs="Times New Roman"/>
      <w:b/>
      <w:bCs/>
      <w:kern w:val="44"/>
      <w:sz w:val="44"/>
      <w:szCs w:val="44"/>
    </w:rPr>
  </w:style>
  <w:style w:type="character" w:customStyle="1" w:styleId="27">
    <w:name w:val="纯文本 Char"/>
    <w:basedOn w:val="19"/>
    <w:link w:val="10"/>
    <w:qFormat/>
    <w:uiPriority w:val="0"/>
    <w:rPr>
      <w:rFonts w:ascii="宋体" w:hAnsi="Courier New" w:eastAsia="宋体"/>
      <w:szCs w:val="24"/>
    </w:rPr>
  </w:style>
  <w:style w:type="character" w:customStyle="1" w:styleId="28">
    <w:name w:val="日期 Char"/>
    <w:basedOn w:val="19"/>
    <w:link w:val="11"/>
    <w:qFormat/>
    <w:uiPriority w:val="0"/>
    <w:rPr>
      <w:rFonts w:eastAsia="楷体_GB2312"/>
      <w:sz w:val="32"/>
    </w:rPr>
  </w:style>
  <w:style w:type="character" w:customStyle="1" w:styleId="29">
    <w:name w:val="标题 2 Char"/>
    <w:basedOn w:val="19"/>
    <w:link w:val="4"/>
    <w:qFormat/>
    <w:uiPriority w:val="9"/>
    <w:rPr>
      <w:rFonts w:asciiTheme="majorHAnsi" w:hAnsiTheme="majorHAnsi" w:eastAsiaTheme="majorEastAsia" w:cstheme="majorBidi"/>
      <w:b/>
      <w:bCs/>
      <w:sz w:val="32"/>
      <w:szCs w:val="32"/>
    </w:rPr>
  </w:style>
  <w:style w:type="character" w:customStyle="1" w:styleId="30">
    <w:name w:val="标题 3 Char"/>
    <w:basedOn w:val="19"/>
    <w:link w:val="5"/>
    <w:qFormat/>
    <w:uiPriority w:val="9"/>
    <w:rPr>
      <w:rFonts w:ascii="Times New Roman" w:hAnsi="Times New Roman" w:eastAsia="宋体" w:cs="Times New Roman"/>
      <w:b/>
      <w:bCs/>
      <w:sz w:val="32"/>
      <w:szCs w:val="32"/>
    </w:rPr>
  </w:style>
  <w:style w:type="paragraph" w:styleId="31">
    <w:name w:val="List Paragraph"/>
    <w:basedOn w:val="1"/>
    <w:qFormat/>
    <w:uiPriority w:val="34"/>
    <w:pPr>
      <w:ind w:firstLine="420" w:firstLineChars="200"/>
    </w:pPr>
    <w:rPr>
      <w:rFonts w:ascii="Calibri" w:hAnsi="Calibri"/>
      <w:szCs w:val="22"/>
    </w:rPr>
  </w:style>
  <w:style w:type="character" w:customStyle="1" w:styleId="32">
    <w:name w:val="正文缩进 Char"/>
    <w:link w:val="7"/>
    <w:qFormat/>
    <w:uiPriority w:val="0"/>
  </w:style>
  <w:style w:type="character" w:customStyle="1" w:styleId="33">
    <w:name w:val="正文文本缩进 Char"/>
    <w:basedOn w:val="19"/>
    <w:link w:val="8"/>
    <w:qFormat/>
    <w:uiPriority w:val="0"/>
    <w:rPr>
      <w:rFonts w:ascii="宋体" w:hAnsi="Times New Roman" w:eastAsia="宋体" w:cs="Times New Roman"/>
      <w:color w:val="000000"/>
      <w:kern w:val="0"/>
      <w:sz w:val="24"/>
      <w:szCs w:val="20"/>
    </w:rPr>
  </w:style>
  <w:style w:type="paragraph" w:customStyle="1" w:styleId="34">
    <w:name w:val="zw"/>
    <w:basedOn w:val="1"/>
    <w:qFormat/>
    <w:uiPriority w:val="0"/>
    <w:pPr>
      <w:widowControl/>
      <w:spacing w:before="30"/>
      <w:ind w:left="100" w:right="100"/>
    </w:pPr>
    <w:rPr>
      <w:rFonts w:ascii="方正书宋简体" w:hAnsi="宋体" w:eastAsia="方正书宋简体"/>
      <w:color w:val="000000"/>
      <w:kern w:val="0"/>
      <w:szCs w:val="21"/>
    </w:rPr>
  </w:style>
  <w:style w:type="character" w:customStyle="1" w:styleId="35">
    <w:name w:val="纯文本 Char1"/>
    <w:basedOn w:val="19"/>
    <w:qFormat/>
    <w:uiPriority w:val="0"/>
    <w:rPr>
      <w:rFonts w:ascii="宋体" w:hAnsi="Courier New" w:eastAsia="宋体" w:cs="Courier New"/>
      <w:szCs w:val="21"/>
    </w:rPr>
  </w:style>
  <w:style w:type="paragraph" w:customStyle="1" w:styleId="3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8">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Table Paragraph"/>
    <w:basedOn w:val="1"/>
    <w:qFormat/>
    <w:uiPriority w:val="1"/>
    <w:pPr>
      <w:jc w:val="left"/>
    </w:pPr>
    <w:rPr>
      <w:rFonts w:ascii="Calibri" w:hAnsi="Calibri"/>
      <w:kern w:val="0"/>
      <w:sz w:val="22"/>
      <w:szCs w:val="22"/>
      <w:lang w:eastAsia="en-US"/>
    </w:rPr>
  </w:style>
  <w:style w:type="paragraph" w:customStyle="1" w:styleId="4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65"/>
    <w:basedOn w:val="1"/>
    <w:qFormat/>
    <w:uiPriority w:val="0"/>
    <w:pPr>
      <w:widowControl/>
      <w:pBdr>
        <w:top w:val="single" w:color="000000" w:sz="4" w:space="0"/>
        <w:left w:val="single" w:color="000000" w:sz="4" w:space="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46">
    <w:name w:val="xl66"/>
    <w:basedOn w:val="1"/>
    <w:qFormat/>
    <w:uiPriority w:val="0"/>
    <w:pPr>
      <w:widowControl/>
      <w:pBdr>
        <w:top w:val="single" w:color="000000" w:sz="4" w:space="0"/>
        <w:left w:val="single" w:color="000000" w:sz="4"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47">
    <w:name w:val="xl67"/>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48">
    <w:name w:val="xl68"/>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49">
    <w:name w:val="xl69"/>
    <w:basedOn w:val="1"/>
    <w:qFormat/>
    <w:uiPriority w:val="0"/>
    <w:pPr>
      <w:widowControl/>
      <w:pBdr>
        <w:top w:val="single" w:color="000000" w:sz="4" w:space="0"/>
        <w:left w:val="single" w:color="000000" w:sz="4" w:space="0"/>
        <w:bottom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50">
    <w:name w:val="xl70"/>
    <w:basedOn w:val="1"/>
    <w:qFormat/>
    <w:uiPriority w:val="0"/>
    <w:pPr>
      <w:widowControl/>
      <w:pBdr>
        <w:top w:val="single" w:color="000000" w:sz="4" w:space="0"/>
        <w:left w:val="single" w:color="000000" w:sz="4" w:space="0"/>
        <w:bottom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51">
    <w:name w:val="xl71"/>
    <w:basedOn w:val="1"/>
    <w:qFormat/>
    <w:uiPriority w:val="0"/>
    <w:pPr>
      <w:widowControl/>
      <w:pBdr>
        <w:top w:val="single" w:color="000000" w:sz="4" w:space="0"/>
        <w:left w:val="single" w:color="000000" w:sz="4" w:space="0"/>
        <w:bottom w:val="single" w:color="auto" w:sz="4" w:space="0"/>
        <w:right w:val="single" w:color="000000" w:sz="4" w:space="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52">
    <w:name w:val="xl72"/>
    <w:basedOn w:val="1"/>
    <w:qFormat/>
    <w:uiPriority w:val="0"/>
    <w:pPr>
      <w:widowControl/>
      <w:pBdr>
        <w:top w:val="single" w:color="000000" w:sz="4" w:space="0"/>
        <w:left w:val="single" w:color="000000" w:sz="4"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53">
    <w:name w:val="xl73"/>
    <w:basedOn w:val="1"/>
    <w:qFormat/>
    <w:uiPriority w:val="0"/>
    <w:pPr>
      <w:widowControl/>
      <w:pBdr>
        <w:top w:val="single" w:color="000000" w:sz="4" w:space="0"/>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5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5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5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57">
    <w:name w:val="xl77"/>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left"/>
      <w:textAlignment w:val="center"/>
    </w:pPr>
    <w:rPr>
      <w:rFonts w:ascii="宋体" w:hAnsi="宋体" w:cs="宋体"/>
      <w:color w:val="000000"/>
      <w:kern w:val="0"/>
      <w:sz w:val="24"/>
    </w:rPr>
  </w:style>
  <w:style w:type="paragraph" w:customStyle="1" w:styleId="58">
    <w:name w:val="xl78"/>
    <w:basedOn w:val="1"/>
    <w:qFormat/>
    <w:uiPriority w:val="0"/>
    <w:pPr>
      <w:widowControl/>
      <w:pBdr>
        <w:top w:val="single" w:color="000000" w:sz="4" w:space="0"/>
        <w:bottom w:val="single" w:color="000000" w:sz="4" w:space="0"/>
      </w:pBdr>
      <w:shd w:val="clear" w:color="000000" w:fill="FFFFFF"/>
      <w:spacing w:before="100" w:beforeAutospacing="1" w:after="100" w:afterAutospacing="1"/>
      <w:jc w:val="left"/>
      <w:textAlignment w:val="center"/>
    </w:pPr>
    <w:rPr>
      <w:rFonts w:ascii="宋体" w:hAnsi="宋体" w:cs="宋体"/>
      <w:color w:val="000000"/>
      <w:kern w:val="0"/>
      <w:sz w:val="24"/>
    </w:rPr>
  </w:style>
  <w:style w:type="paragraph" w:customStyle="1" w:styleId="59">
    <w:name w:val="xl79"/>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color w:val="000000"/>
      <w:kern w:val="0"/>
      <w:sz w:val="24"/>
    </w:rPr>
  </w:style>
  <w:style w:type="paragraph" w:customStyle="1" w:styleId="60">
    <w:name w:val="xl80"/>
    <w:basedOn w:val="1"/>
    <w:qFormat/>
    <w:uiPriority w:val="0"/>
    <w:pPr>
      <w:widowControl/>
      <w:pBdr>
        <w:top w:val="single" w:color="000000" w:sz="4" w:space="0"/>
        <w:left w:val="single" w:color="000000" w:sz="4" w:space="0"/>
      </w:pBdr>
      <w:shd w:val="clear" w:color="000000" w:fill="FFFFFF"/>
      <w:spacing w:before="100" w:beforeAutospacing="1" w:after="100" w:afterAutospacing="1"/>
      <w:jc w:val="left"/>
      <w:textAlignment w:val="center"/>
    </w:pPr>
    <w:rPr>
      <w:rFonts w:ascii="宋体" w:hAnsi="宋体" w:cs="宋体"/>
      <w:color w:val="000000"/>
      <w:kern w:val="0"/>
      <w:sz w:val="24"/>
    </w:rPr>
  </w:style>
  <w:style w:type="paragraph" w:customStyle="1" w:styleId="61">
    <w:name w:val="xl81"/>
    <w:basedOn w:val="1"/>
    <w:qFormat/>
    <w:uiPriority w:val="0"/>
    <w:pPr>
      <w:widowControl/>
      <w:pBdr>
        <w:top w:val="single" w:color="000000" w:sz="4" w:space="0"/>
      </w:pBdr>
      <w:shd w:val="clear" w:color="000000" w:fill="FFFFFF"/>
      <w:spacing w:before="100" w:beforeAutospacing="1" w:after="100" w:afterAutospacing="1"/>
      <w:jc w:val="left"/>
      <w:textAlignment w:val="center"/>
    </w:pPr>
    <w:rPr>
      <w:rFonts w:ascii="宋体" w:hAnsi="宋体" w:cs="宋体"/>
      <w:color w:val="000000"/>
      <w:kern w:val="0"/>
      <w:sz w:val="24"/>
    </w:rPr>
  </w:style>
  <w:style w:type="paragraph" w:customStyle="1" w:styleId="62">
    <w:name w:val="xl82"/>
    <w:basedOn w:val="1"/>
    <w:qFormat/>
    <w:uiPriority w:val="0"/>
    <w:pPr>
      <w:widowControl/>
      <w:pBdr>
        <w:top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color w:val="000000"/>
      <w:kern w:val="0"/>
      <w:sz w:val="24"/>
    </w:rPr>
  </w:style>
  <w:style w:type="paragraph" w:customStyle="1" w:styleId="63">
    <w:name w:val="xl83"/>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left"/>
      <w:textAlignment w:val="center"/>
    </w:pPr>
    <w:rPr>
      <w:rFonts w:ascii="宋体" w:hAnsi="宋体" w:cs="宋体"/>
      <w:color w:val="000000"/>
      <w:kern w:val="0"/>
      <w:sz w:val="24"/>
    </w:rPr>
  </w:style>
  <w:style w:type="paragraph" w:customStyle="1" w:styleId="64">
    <w:name w:val="xl84"/>
    <w:basedOn w:val="1"/>
    <w:qFormat/>
    <w:uiPriority w:val="0"/>
    <w:pPr>
      <w:widowControl/>
      <w:pBdr>
        <w:top w:val="single" w:color="000000" w:sz="4" w:space="0"/>
        <w:bottom w:val="single" w:color="000000" w:sz="4" w:space="0"/>
      </w:pBdr>
      <w:shd w:val="clear" w:color="000000" w:fill="FFFFFF"/>
      <w:spacing w:before="100" w:beforeAutospacing="1" w:after="100" w:afterAutospacing="1"/>
      <w:jc w:val="left"/>
      <w:textAlignment w:val="center"/>
    </w:pPr>
    <w:rPr>
      <w:rFonts w:ascii="宋体" w:hAnsi="宋体" w:cs="宋体"/>
      <w:color w:val="000000"/>
      <w:kern w:val="0"/>
      <w:sz w:val="24"/>
    </w:rPr>
  </w:style>
  <w:style w:type="paragraph" w:customStyle="1" w:styleId="65">
    <w:name w:val="xl85"/>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color w:val="000000"/>
      <w:kern w:val="0"/>
      <w:sz w:val="24"/>
    </w:rPr>
  </w:style>
  <w:style w:type="paragraph" w:customStyle="1" w:styleId="66">
    <w:name w:val="xl86"/>
    <w:basedOn w:val="1"/>
    <w:qFormat/>
    <w:uiPriority w:val="0"/>
    <w:pPr>
      <w:widowControl/>
      <w:shd w:val="clear" w:color="000000" w:fill="FFFFFF"/>
      <w:spacing w:before="100" w:beforeAutospacing="1" w:after="100" w:afterAutospacing="1"/>
      <w:jc w:val="left"/>
      <w:textAlignment w:val="center"/>
    </w:pPr>
    <w:rPr>
      <w:rFonts w:ascii="宋体" w:hAnsi="宋体" w:cs="宋体"/>
      <w:color w:val="000000"/>
      <w:kern w:val="0"/>
      <w:sz w:val="24"/>
    </w:rPr>
  </w:style>
  <w:style w:type="paragraph" w:customStyle="1" w:styleId="67">
    <w:name w:val="xl87"/>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68">
    <w:name w:val="xl88"/>
    <w:basedOn w:val="1"/>
    <w:qFormat/>
    <w:uiPriority w:val="0"/>
    <w:pPr>
      <w:widowControl/>
      <w:pBdr>
        <w:bottom w:val="single" w:color="000000" w:sz="4" w:space="0"/>
      </w:pBdr>
      <w:spacing w:before="100" w:beforeAutospacing="1" w:after="100" w:afterAutospacing="1"/>
      <w:jc w:val="center"/>
      <w:textAlignment w:val="center"/>
    </w:pPr>
    <w:rPr>
      <w:rFonts w:ascii="宋体" w:hAnsi="宋体" w:cs="宋体"/>
      <w:kern w:val="0"/>
      <w:sz w:val="32"/>
      <w:szCs w:val="32"/>
    </w:rPr>
  </w:style>
  <w:style w:type="paragraph" w:customStyle="1" w:styleId="69">
    <w:name w:val="xl89"/>
    <w:basedOn w:val="1"/>
    <w:qFormat/>
    <w:uiPriority w:val="0"/>
    <w:pPr>
      <w:widowControl/>
      <w:pBdr>
        <w:top w:val="single" w:color="000000" w:sz="4" w:space="0"/>
        <w:left w:val="single" w:color="000000" w:sz="4" w:space="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7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71">
    <w:name w:val="xl91"/>
    <w:basedOn w:val="1"/>
    <w:qFormat/>
    <w:uiPriority w:val="0"/>
    <w:pPr>
      <w:widowControl/>
      <w:pBdr>
        <w:top w:val="single" w:color="000000" w:sz="4" w:space="0"/>
        <w:left w:val="single" w:color="000000" w:sz="4" w:space="0"/>
        <w:bottom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72">
    <w:name w:val="xl92"/>
    <w:basedOn w:val="1"/>
    <w:qFormat/>
    <w:uiPriority w:val="0"/>
    <w:pPr>
      <w:widowControl/>
      <w:pBdr>
        <w:top w:val="single" w:color="000000" w:sz="4" w:space="0"/>
        <w:left w:val="single" w:color="000000" w:sz="4"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73">
    <w:name w:val="xl93"/>
    <w:basedOn w:val="1"/>
    <w:qFormat/>
    <w:uiPriority w:val="0"/>
    <w:pPr>
      <w:widowControl/>
      <w:shd w:val="clear" w:color="000000" w:fill="FFFFFF"/>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9A593A-E803-48A0-B466-9994E196361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71</Pages>
  <Words>6621</Words>
  <Characters>37743</Characters>
  <Lines>314</Lines>
  <Paragraphs>88</Paragraphs>
  <TotalTime>0</TotalTime>
  <ScaleCrop>false</ScaleCrop>
  <LinksUpToDate>false</LinksUpToDate>
  <CharactersWithSpaces>44276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2019-09-20T04:36:00Z</dcterms:created>
  <dc:creator>User</dc:creator>
  <cp:lastModifiedBy>别来无恙1384913932</cp:lastModifiedBy>
  <cp:lastPrinted>2019-09-20T05:11:00Z</cp:lastPrinted>
  <dcterms:modified xsi:type="dcterms:W3CDTF">2019-10-08T06:15:19Z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