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</w:p>
    <w:p w:rsidR="004547C6" w:rsidRPr="00AB497A" w:rsidRDefault="004547C6" w:rsidP="004547C6">
      <w:pPr>
        <w:spacing w:line="400" w:lineRule="exact"/>
        <w:rPr>
          <w:rFonts w:eastAsia="宋体"/>
          <w:b/>
          <w:sz w:val="28"/>
          <w:szCs w:val="28"/>
        </w:rPr>
      </w:pPr>
      <w:r w:rsidRPr="00AB497A">
        <w:rPr>
          <w:rFonts w:eastAsia="宋体" w:hAnsi="宋体"/>
          <w:b/>
          <w:sz w:val="28"/>
          <w:szCs w:val="28"/>
        </w:rPr>
        <w:t>评标办法附件</w:t>
      </w:r>
    </w:p>
    <w:p w:rsidR="004547C6" w:rsidRPr="00AB497A" w:rsidRDefault="004547C6" w:rsidP="004547C6">
      <w:pPr>
        <w:pStyle w:val="a4"/>
        <w:spacing w:line="360" w:lineRule="auto"/>
        <w:ind w:firstLine="0"/>
        <w:jc w:val="center"/>
        <w:rPr>
          <w:rFonts w:ascii="Times New Roman" w:eastAsia="宋体" w:hAnsi="Times New Roman" w:cs="Times New Roman"/>
          <w:b/>
          <w:szCs w:val="32"/>
        </w:rPr>
      </w:pPr>
      <w:r w:rsidRPr="00AB497A">
        <w:rPr>
          <w:rFonts w:ascii="Times New Roman" w:eastAsia="宋体" w:hAnsi="宋体" w:cs="Times New Roman"/>
          <w:b/>
          <w:szCs w:val="32"/>
        </w:rPr>
        <w:t>综合评估法</w:t>
      </w:r>
    </w:p>
    <w:p w:rsidR="004547C6" w:rsidRPr="00AB497A" w:rsidRDefault="004547C6" w:rsidP="004547C6">
      <w:pPr>
        <w:pStyle w:val="a4"/>
        <w:spacing w:line="360" w:lineRule="exact"/>
        <w:rPr>
          <w:rFonts w:ascii="Times New Roman" w:hAnsi="Times New Roman" w:cs="Times New Roman"/>
        </w:rPr>
      </w:pPr>
      <w:r w:rsidRPr="00AB497A">
        <w:rPr>
          <w:rFonts w:ascii="Times New Roman" w:eastAsia="宋体" w:hAnsi="宋体" w:cs="Times New Roman"/>
          <w:b/>
          <w:sz w:val="21"/>
        </w:rPr>
        <w:t>本工程项目的评标办法采用综合评估法。</w:t>
      </w:r>
      <w:r w:rsidRPr="00AB497A">
        <w:rPr>
          <w:rFonts w:ascii="Times New Roman" w:eastAsia="宋体" w:hAnsi="宋体" w:cs="Times New Roman"/>
          <w:b/>
          <w:sz w:val="21"/>
          <w:szCs w:val="21"/>
        </w:rPr>
        <w:t>评标分值由二部分组成，资信分</w:t>
      </w:r>
      <w:r w:rsidRPr="00AB497A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Pr="00AB497A">
        <w:rPr>
          <w:rFonts w:ascii="Times New Roman" w:eastAsia="宋体" w:hAnsi="宋体" w:cs="Times New Roman"/>
          <w:b/>
          <w:sz w:val="21"/>
          <w:szCs w:val="21"/>
        </w:rPr>
        <w:t>分，商务分</w:t>
      </w:r>
      <w:r w:rsidRPr="00AB497A">
        <w:rPr>
          <w:rFonts w:ascii="Times New Roman" w:eastAsia="宋体" w:hAnsi="Times New Roman" w:cs="Times New Roman"/>
          <w:b/>
          <w:sz w:val="21"/>
          <w:szCs w:val="21"/>
        </w:rPr>
        <w:t>99</w:t>
      </w:r>
      <w:r w:rsidRPr="00AB497A">
        <w:rPr>
          <w:rFonts w:ascii="Times New Roman" w:eastAsia="宋体" w:hAnsi="宋体" w:cs="Times New Roman"/>
          <w:b/>
          <w:sz w:val="21"/>
          <w:szCs w:val="21"/>
        </w:rPr>
        <w:t>分，总分</w:t>
      </w:r>
      <w:r w:rsidRPr="00AB497A">
        <w:rPr>
          <w:rFonts w:ascii="Times New Roman" w:eastAsia="宋体" w:hAnsi="Times New Roman" w:cs="Times New Roman"/>
          <w:b/>
          <w:sz w:val="21"/>
          <w:szCs w:val="21"/>
        </w:rPr>
        <w:t>100</w:t>
      </w:r>
      <w:r w:rsidRPr="00AB497A">
        <w:rPr>
          <w:rFonts w:ascii="Times New Roman" w:eastAsia="宋体" w:hAnsi="宋体" w:cs="Times New Roman"/>
          <w:b/>
          <w:sz w:val="21"/>
          <w:szCs w:val="21"/>
        </w:rPr>
        <w:t>分。</w:t>
      </w:r>
    </w:p>
    <w:p w:rsidR="004547C6" w:rsidRPr="00AB497A" w:rsidRDefault="004547C6" w:rsidP="004547C6">
      <w:pPr>
        <w:pStyle w:val="2"/>
        <w:numPr>
          <w:ilvl w:val="0"/>
          <w:numId w:val="0"/>
        </w:numPr>
        <w:ind w:left="840"/>
        <w:rPr>
          <w:rFonts w:ascii="Times New Roman" w:hAnsi="Times New Roman" w:cs="Times New Roman"/>
        </w:rPr>
      </w:pPr>
      <w:r w:rsidRPr="00AB497A">
        <w:rPr>
          <w:rFonts w:ascii="Times New Roman" w:cs="Times New Roman"/>
        </w:rPr>
        <w:t>一、第一阶段为资格审查。</w:t>
      </w:r>
    </w:p>
    <w:p w:rsidR="004547C6" w:rsidRPr="00AB497A" w:rsidRDefault="004547C6" w:rsidP="004547C6">
      <w:pPr>
        <w:spacing w:line="360" w:lineRule="exact"/>
        <w:ind w:firstLine="420"/>
        <w:rPr>
          <w:rFonts w:eastAsia="宋体"/>
          <w:bCs/>
          <w:sz w:val="21"/>
        </w:rPr>
      </w:pPr>
      <w:r w:rsidRPr="00AB497A">
        <w:rPr>
          <w:rFonts w:eastAsia="宋体" w:hAnsi="宋体"/>
          <w:bCs/>
          <w:sz w:val="21"/>
        </w:rPr>
        <w:t>评标委员会按照招标文件载明的资格后审条款对投标人进行审查，凡不符合资格后审要求的，以无效标处理，不再进入资信标、商务标评标。</w:t>
      </w:r>
    </w:p>
    <w:p w:rsidR="004547C6" w:rsidRPr="00AB497A" w:rsidRDefault="004547C6" w:rsidP="004547C6">
      <w:pPr>
        <w:pStyle w:val="2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AB497A">
        <w:rPr>
          <w:rFonts w:ascii="Times New Roman" w:cs="Times New Roman"/>
        </w:rPr>
        <w:t>二、第二阶段为资信标评审（</w:t>
      </w:r>
      <w:r w:rsidRPr="00AB497A">
        <w:rPr>
          <w:rFonts w:ascii="Times New Roman" w:hAnsi="Times New Roman" w:cs="Times New Roman"/>
        </w:rPr>
        <w:t>1</w:t>
      </w:r>
      <w:r w:rsidRPr="00AB497A">
        <w:rPr>
          <w:rFonts w:ascii="Times New Roman" w:cs="Times New Roman"/>
        </w:rPr>
        <w:t>分）。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4547C6" w:rsidRPr="00AB497A" w:rsidTr="00170744">
        <w:trPr>
          <w:cantSplit/>
          <w:trHeight w:val="443"/>
        </w:trPr>
        <w:tc>
          <w:tcPr>
            <w:tcW w:w="9252" w:type="dxa"/>
            <w:vAlign w:val="center"/>
          </w:tcPr>
          <w:p w:rsidR="004547C6" w:rsidRPr="00AB497A" w:rsidRDefault="004547C6" w:rsidP="004547C6">
            <w:pPr>
              <w:pStyle w:val="2"/>
              <w:numPr>
                <w:ilvl w:val="0"/>
                <w:numId w:val="0"/>
              </w:numPr>
              <w:ind w:left="420"/>
              <w:rPr>
                <w:rFonts w:ascii="Times New Roman" w:hAnsi="Times New Roman" w:cs="Times New Roman"/>
              </w:rPr>
            </w:pPr>
            <w:r w:rsidRPr="00AB497A">
              <w:rPr>
                <w:rFonts w:ascii="Times New Roman" w:cs="Times New Roman"/>
              </w:rPr>
              <w:t>资信分</w:t>
            </w:r>
            <w:r w:rsidRPr="00AB497A">
              <w:rPr>
                <w:rFonts w:ascii="Times New Roman" w:hAnsi="Times New Roman" w:cs="Times New Roman"/>
              </w:rPr>
              <w:t>1</w:t>
            </w:r>
            <w:r w:rsidRPr="00AB497A">
              <w:rPr>
                <w:rFonts w:ascii="Times New Roman" w:cs="Times New Roman"/>
              </w:rPr>
              <w:t>分</w:t>
            </w:r>
          </w:p>
        </w:tc>
      </w:tr>
      <w:tr w:rsidR="00170744" w:rsidRPr="00AB497A" w:rsidTr="00170744">
        <w:trPr>
          <w:cantSplit/>
          <w:trHeight w:val="443"/>
        </w:trPr>
        <w:tc>
          <w:tcPr>
            <w:tcW w:w="9252" w:type="dxa"/>
            <w:vAlign w:val="center"/>
          </w:tcPr>
          <w:p w:rsidR="00170744" w:rsidRPr="00AB497A" w:rsidRDefault="00170744" w:rsidP="007640F6">
            <w:pPr>
              <w:jc w:val="left"/>
              <w:rPr>
                <w:rFonts w:ascii="宋体" w:eastAsia="宋体" w:hAnsi="宋体"/>
                <w:sz w:val="21"/>
              </w:rPr>
            </w:pPr>
            <w:r w:rsidRPr="00AB497A">
              <w:rPr>
                <w:rFonts w:ascii="宋体" w:eastAsia="宋体" w:hAnsi="宋体" w:hint="eastAsia"/>
                <w:sz w:val="21"/>
              </w:rPr>
              <w:t>人员配置（0.5分）:</w:t>
            </w:r>
          </w:p>
          <w:p w:rsidR="00170744" w:rsidRPr="00AB497A" w:rsidRDefault="00170744" w:rsidP="007640F6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B497A">
              <w:rPr>
                <w:rFonts w:ascii="宋体" w:eastAsia="宋体" w:hAnsi="宋体" w:hint="eastAsia"/>
                <w:sz w:val="21"/>
              </w:rPr>
              <w:t xml:space="preserve">    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项目负责人或者项目技术负责人自2012年1月1日以来完成过单个项目金额1000万元及以上生活垃圾填埋场施工业绩，或从2012年1月1日</w:t>
            </w:r>
            <w:r w:rsidR="00D92A7F" w:rsidRPr="00AB497A">
              <w:rPr>
                <w:rFonts w:ascii="宋体" w:eastAsia="宋体" w:hAnsi="宋体" w:hint="eastAsia"/>
                <w:sz w:val="21"/>
                <w:szCs w:val="21"/>
              </w:rPr>
              <w:t>以来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完成过单个项目金额500万元及以上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垃圾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渗滤液处置</w:t>
            </w:r>
            <w:r w:rsidR="00750789">
              <w:rPr>
                <w:rFonts w:ascii="宋体" w:eastAsia="宋体" w:hAnsi="宋体" w:hint="eastAsia"/>
                <w:sz w:val="21"/>
                <w:szCs w:val="21"/>
              </w:rPr>
              <w:t>工程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业绩。提供（1）中标通知书</w:t>
            </w:r>
            <w:r w:rsidR="009912A0">
              <w:rPr>
                <w:rFonts w:ascii="宋体" w:eastAsia="宋体" w:hAnsi="宋体" w:hint="eastAsia"/>
                <w:sz w:val="21"/>
                <w:szCs w:val="21"/>
              </w:rPr>
              <w:t>（如有）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、（2）合同、（3）竣工验收报告、（4）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垃圾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渗滤液处置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工程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施工图纸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（体现垃圾</w:t>
            </w:r>
            <w:r w:rsidR="00E61A89" w:rsidRPr="00AB497A">
              <w:rPr>
                <w:rFonts w:ascii="宋体" w:eastAsia="宋体" w:hAnsi="宋体" w:hint="eastAsia"/>
                <w:sz w:val="21"/>
                <w:szCs w:val="21"/>
              </w:rPr>
              <w:t>渗滤液处置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工艺图纸）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、（5）担任该工程项目负责人或者项目技术负责人证明材料，复印件放入资信标中，5项原件开标前提交。未提供原件或原件不齐全的，本项不得分。</w:t>
            </w:r>
          </w:p>
          <w:p w:rsidR="00170744" w:rsidRPr="00AB497A" w:rsidRDefault="00170744" w:rsidP="007640F6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B497A">
              <w:rPr>
                <w:rFonts w:ascii="宋体" w:eastAsia="宋体" w:hAnsi="宋体" w:hint="eastAsia"/>
                <w:sz w:val="21"/>
                <w:szCs w:val="21"/>
              </w:rPr>
              <w:t>1、项目负责人具有完成过单个项目金额1000万元及以上生活垃圾填埋场施工业绩，或从2012年1月1日</w:t>
            </w:r>
            <w:r w:rsidR="00D92A7F" w:rsidRPr="00AB497A">
              <w:rPr>
                <w:rFonts w:ascii="宋体" w:eastAsia="宋体" w:hAnsi="宋体" w:hint="eastAsia"/>
                <w:sz w:val="21"/>
                <w:szCs w:val="21"/>
              </w:rPr>
              <w:t>以来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完成过单个项目金额500万元及以上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垃圾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渗滤液处置</w:t>
            </w:r>
            <w:r w:rsidR="00D92A7F" w:rsidRPr="00AB497A">
              <w:rPr>
                <w:rFonts w:ascii="宋体" w:eastAsia="宋体" w:hAnsi="宋体" w:hint="eastAsia"/>
                <w:sz w:val="21"/>
                <w:szCs w:val="21"/>
              </w:rPr>
              <w:t>工程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业绩的得0.3分；</w:t>
            </w:r>
          </w:p>
          <w:p w:rsidR="00170744" w:rsidRPr="00AB497A" w:rsidRDefault="00170744" w:rsidP="007640F6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B497A">
              <w:rPr>
                <w:rFonts w:ascii="宋体" w:eastAsia="宋体" w:hAnsi="宋体" w:hint="eastAsia"/>
                <w:sz w:val="21"/>
                <w:szCs w:val="21"/>
              </w:rPr>
              <w:t>2、项目技术负责人完成过单个项目金额1000万元及以上生活垃圾填埋场施工业绩，或从2012年1月1日后完成过单个项目金额500万元及以上</w:t>
            </w:r>
            <w:r w:rsidR="00E61A89">
              <w:rPr>
                <w:rFonts w:ascii="宋体" w:eastAsia="宋体" w:hAnsi="宋体" w:hint="eastAsia"/>
                <w:sz w:val="21"/>
                <w:szCs w:val="21"/>
              </w:rPr>
              <w:t>垃圾</w:t>
            </w:r>
            <w:r w:rsidRPr="00AB497A">
              <w:rPr>
                <w:rFonts w:ascii="宋体" w:eastAsia="宋体" w:hAnsi="宋体" w:hint="eastAsia"/>
                <w:sz w:val="21"/>
                <w:szCs w:val="21"/>
              </w:rPr>
              <w:t>渗滤液处置业绩得0.2分。</w:t>
            </w:r>
          </w:p>
          <w:p w:rsidR="00170744" w:rsidRPr="00AB497A" w:rsidRDefault="00170744" w:rsidP="007640F6">
            <w:pPr>
              <w:jc w:val="left"/>
              <w:rPr>
                <w:rFonts w:ascii="宋体" w:eastAsia="宋体" w:hAnsi="宋体"/>
                <w:sz w:val="21"/>
              </w:rPr>
            </w:pPr>
          </w:p>
        </w:tc>
      </w:tr>
      <w:tr w:rsidR="004547C6" w:rsidRPr="00AB497A" w:rsidTr="00170744">
        <w:trPr>
          <w:cantSplit/>
          <w:trHeight w:val="443"/>
        </w:trPr>
        <w:tc>
          <w:tcPr>
            <w:tcW w:w="9252" w:type="dxa"/>
            <w:vAlign w:val="center"/>
          </w:tcPr>
          <w:p w:rsidR="00D92A7F" w:rsidRPr="00AB497A" w:rsidRDefault="004547C6" w:rsidP="00D92A7F">
            <w:pPr>
              <w:jc w:val="left"/>
              <w:rPr>
                <w:rFonts w:eastAsia="宋体" w:hAnsi="宋体"/>
                <w:sz w:val="21"/>
              </w:rPr>
            </w:pPr>
            <w:r w:rsidRPr="00AB497A">
              <w:rPr>
                <w:rFonts w:eastAsia="宋体" w:hAnsi="宋体"/>
                <w:sz w:val="21"/>
              </w:rPr>
              <w:t>奖项荣誉（</w:t>
            </w:r>
            <w:r w:rsidRPr="00AB497A">
              <w:rPr>
                <w:rFonts w:eastAsia="宋体"/>
                <w:sz w:val="21"/>
              </w:rPr>
              <w:t>0.5</w:t>
            </w:r>
            <w:r w:rsidRPr="00AB497A">
              <w:rPr>
                <w:rFonts w:eastAsia="宋体" w:hAnsi="宋体"/>
                <w:sz w:val="21"/>
              </w:rPr>
              <w:t>分）：</w:t>
            </w:r>
          </w:p>
          <w:p w:rsidR="004547C6" w:rsidRPr="00AB497A" w:rsidRDefault="00170744" w:rsidP="00617E76">
            <w:pPr>
              <w:jc w:val="left"/>
              <w:rPr>
                <w:rFonts w:eastAsia="宋体"/>
                <w:sz w:val="21"/>
              </w:rPr>
            </w:pPr>
            <w:r w:rsidRPr="00AB497A">
              <w:rPr>
                <w:rFonts w:ascii="宋体" w:eastAsia="宋体" w:hAnsi="宋体" w:hint="eastAsia"/>
                <w:sz w:val="21"/>
              </w:rPr>
              <w:t xml:space="preserve"> 2012年1月1日以来，投标人完成</w:t>
            </w:r>
            <w:r w:rsidR="007C2091">
              <w:rPr>
                <w:rFonts w:ascii="宋体" w:eastAsia="宋体" w:hAnsi="宋体" w:hint="eastAsia"/>
                <w:sz w:val="21"/>
              </w:rPr>
              <w:t>过</w:t>
            </w:r>
            <w:r w:rsidR="00617E76">
              <w:rPr>
                <w:rFonts w:ascii="宋体" w:eastAsia="宋体" w:hAnsi="宋体" w:hint="eastAsia"/>
                <w:sz w:val="21"/>
              </w:rPr>
              <w:t>垃圾填埋场</w:t>
            </w:r>
            <w:r w:rsidR="007C2091">
              <w:rPr>
                <w:rFonts w:ascii="宋体" w:eastAsia="宋体" w:hAnsi="宋体" w:hint="eastAsia"/>
                <w:sz w:val="21"/>
              </w:rPr>
              <w:t>工程并</w:t>
            </w:r>
            <w:r w:rsidR="004D6B84">
              <w:rPr>
                <w:rFonts w:ascii="宋体" w:eastAsia="宋体" w:hAnsi="宋体" w:hint="eastAsia"/>
                <w:sz w:val="21"/>
              </w:rPr>
              <w:t>该工程</w:t>
            </w:r>
            <w:r w:rsidR="00617E76">
              <w:rPr>
                <w:rFonts w:ascii="宋体" w:eastAsia="宋体" w:hAnsi="宋体" w:hint="eastAsia"/>
                <w:sz w:val="21"/>
              </w:rPr>
              <w:t>获得</w:t>
            </w:r>
            <w:r w:rsidR="00D92A7F" w:rsidRPr="00AB497A">
              <w:rPr>
                <w:rFonts w:ascii="宋体" w:eastAsia="宋体" w:hAnsi="宋体" w:hint="eastAsia"/>
                <w:sz w:val="21"/>
              </w:rPr>
              <w:t>“鲁班奖”或</w:t>
            </w:r>
            <w:r w:rsidR="00E61A89">
              <w:rPr>
                <w:rFonts w:ascii="宋体" w:eastAsia="宋体" w:hAnsi="宋体" w:hint="eastAsia"/>
                <w:sz w:val="21"/>
              </w:rPr>
              <w:t>国家级</w:t>
            </w:r>
            <w:r w:rsidR="00D92A7F" w:rsidRPr="00AB497A">
              <w:rPr>
                <w:rFonts w:ascii="宋体" w:eastAsia="宋体" w:hAnsi="宋体" w:hint="eastAsia"/>
                <w:sz w:val="21"/>
              </w:rPr>
              <w:t>“市政金奖”的得0.5分</w:t>
            </w:r>
            <w:r w:rsidRPr="00AB497A">
              <w:rPr>
                <w:rFonts w:ascii="宋体" w:eastAsia="宋体" w:hAnsi="宋体" w:hint="eastAsia"/>
                <w:sz w:val="21"/>
              </w:rPr>
              <w:t>，以</w:t>
            </w:r>
            <w:r w:rsidR="0096213B" w:rsidRPr="00AB497A">
              <w:rPr>
                <w:rFonts w:ascii="宋体" w:eastAsia="宋体" w:hAnsi="宋体" w:hint="eastAsia"/>
                <w:sz w:val="21"/>
              </w:rPr>
              <w:t>获奖</w:t>
            </w:r>
            <w:r w:rsidRPr="00AB497A">
              <w:rPr>
                <w:rFonts w:ascii="宋体" w:eastAsia="宋体" w:hAnsi="宋体" w:hint="eastAsia"/>
                <w:sz w:val="21"/>
              </w:rPr>
              <w:t>文件或证书为准</w:t>
            </w:r>
            <w:r w:rsidR="00D92A7F" w:rsidRPr="00AB497A">
              <w:rPr>
                <w:rFonts w:ascii="宋体" w:eastAsia="宋体" w:hAnsi="宋体" w:hint="eastAsia"/>
                <w:sz w:val="21"/>
              </w:rPr>
              <w:t>。</w:t>
            </w:r>
            <w:r w:rsidR="00D92A7F" w:rsidRPr="00AB497A">
              <w:rPr>
                <w:rFonts w:eastAsia="宋体"/>
                <w:sz w:val="21"/>
              </w:rPr>
              <w:t xml:space="preserve"> </w:t>
            </w:r>
          </w:p>
        </w:tc>
      </w:tr>
      <w:tr w:rsidR="004547C6" w:rsidRPr="00AB497A" w:rsidTr="00170744">
        <w:trPr>
          <w:cantSplit/>
          <w:trHeight w:val="443"/>
        </w:trPr>
        <w:tc>
          <w:tcPr>
            <w:tcW w:w="9252" w:type="dxa"/>
            <w:vAlign w:val="center"/>
          </w:tcPr>
          <w:p w:rsidR="004547C6" w:rsidRPr="00AB497A" w:rsidRDefault="004547C6" w:rsidP="007640F6">
            <w:pPr>
              <w:jc w:val="left"/>
              <w:rPr>
                <w:rFonts w:eastAsia="宋体"/>
                <w:b/>
                <w:bCs/>
                <w:sz w:val="21"/>
              </w:rPr>
            </w:pPr>
            <w:r w:rsidRPr="00AB497A">
              <w:rPr>
                <w:rFonts w:eastAsia="宋体" w:hAnsi="宋体"/>
                <w:b/>
                <w:bCs/>
                <w:sz w:val="21"/>
              </w:rPr>
              <w:t>注：</w:t>
            </w:r>
          </w:p>
          <w:p w:rsidR="004547C6" w:rsidRPr="00AB497A" w:rsidRDefault="004547C6" w:rsidP="007640F6">
            <w:pPr>
              <w:jc w:val="left"/>
              <w:rPr>
                <w:rFonts w:eastAsia="宋体"/>
                <w:b/>
                <w:bCs/>
                <w:sz w:val="21"/>
              </w:rPr>
            </w:pPr>
            <w:r w:rsidRPr="00AB497A">
              <w:rPr>
                <w:rFonts w:eastAsia="宋体" w:hAnsi="宋体"/>
                <w:b/>
                <w:bCs/>
                <w:sz w:val="21"/>
              </w:rPr>
              <w:t>（</w:t>
            </w:r>
            <w:r w:rsidRPr="00AB497A">
              <w:rPr>
                <w:rFonts w:eastAsia="宋体"/>
                <w:b/>
                <w:bCs/>
                <w:sz w:val="21"/>
              </w:rPr>
              <w:t>1</w:t>
            </w:r>
            <w:r w:rsidRPr="00AB497A">
              <w:rPr>
                <w:rFonts w:eastAsia="宋体" w:hAnsi="宋体"/>
                <w:b/>
                <w:bCs/>
                <w:sz w:val="21"/>
              </w:rPr>
              <w:t>）资信部分所涉及的所有资料均须携带原件，投标人在开标前提供上述资料原件（投标文件中图纸可以缩印件，但原件在开标前提供），否则，其相应评分，不予计取。</w:t>
            </w:r>
          </w:p>
          <w:p w:rsidR="004547C6" w:rsidRPr="00AB497A" w:rsidRDefault="004547C6" w:rsidP="007640F6">
            <w:pPr>
              <w:jc w:val="left"/>
              <w:rPr>
                <w:rFonts w:eastAsia="宋体"/>
                <w:sz w:val="21"/>
              </w:rPr>
            </w:pPr>
            <w:r w:rsidRPr="00AB497A">
              <w:rPr>
                <w:rFonts w:eastAsia="宋体" w:hAnsi="宋体"/>
                <w:b/>
                <w:bCs/>
                <w:sz w:val="21"/>
              </w:rPr>
              <w:t>（</w:t>
            </w:r>
            <w:r w:rsidRPr="00AB497A">
              <w:rPr>
                <w:rFonts w:eastAsia="宋体"/>
                <w:b/>
                <w:bCs/>
                <w:sz w:val="21"/>
              </w:rPr>
              <w:t>2</w:t>
            </w:r>
            <w:r w:rsidRPr="00AB497A">
              <w:rPr>
                <w:rFonts w:eastAsia="宋体" w:hAnsi="宋体"/>
                <w:b/>
                <w:bCs/>
                <w:sz w:val="21"/>
              </w:rPr>
              <w:t>）资信部分及资格审查资料所附的相关资料复印件应真实可靠，若在中标后发现提供的资料为虚假资料，立即取消中标资格，中标人应承担由此给招标人带来的损失及相应的法律责任。</w:t>
            </w:r>
          </w:p>
        </w:tc>
      </w:tr>
    </w:tbl>
    <w:p w:rsidR="004547C6" w:rsidRPr="00AB497A" w:rsidRDefault="004547C6" w:rsidP="00D72B55">
      <w:pPr>
        <w:pStyle w:val="2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AB497A">
        <w:rPr>
          <w:rFonts w:ascii="Times New Roman" w:cs="Times New Roman"/>
        </w:rPr>
        <w:t>三、第三阶段为商务标评审（</w:t>
      </w:r>
      <w:r w:rsidRPr="00AB497A">
        <w:rPr>
          <w:rFonts w:ascii="Times New Roman" w:hAnsi="Times New Roman" w:cs="Times New Roman"/>
        </w:rPr>
        <w:t>99</w:t>
      </w:r>
      <w:r w:rsidRPr="00AB497A">
        <w:rPr>
          <w:rFonts w:ascii="Times New Roman" w:cs="Times New Roman"/>
        </w:rPr>
        <w:t>分）。</w:t>
      </w:r>
    </w:p>
    <w:p w:rsidR="00D72B55" w:rsidRPr="00AB497A" w:rsidRDefault="00D72B55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AB497A">
        <w:rPr>
          <w:rFonts w:eastAsia="宋体" w:hAnsi="宋体"/>
          <w:sz w:val="21"/>
          <w:szCs w:val="21"/>
        </w:rPr>
        <w:t>投标下浮率应在以下合理范围内</w:t>
      </w:r>
      <w:r w:rsidRPr="00AB497A">
        <w:rPr>
          <w:rFonts w:eastAsia="宋体"/>
          <w:sz w:val="21"/>
          <w:szCs w:val="21"/>
        </w:rPr>
        <w:t>12</w:t>
      </w:r>
      <w:r w:rsidR="005306A8" w:rsidRPr="00AB497A">
        <w:rPr>
          <w:rFonts w:eastAsia="宋体" w:hAnsi="宋体"/>
          <w:sz w:val="21"/>
          <w:szCs w:val="21"/>
        </w:rPr>
        <w:t>%</w:t>
      </w:r>
      <w:r w:rsidRPr="00AB497A">
        <w:rPr>
          <w:rFonts w:eastAsia="宋体" w:hAnsi="宋体"/>
          <w:sz w:val="21"/>
          <w:szCs w:val="21"/>
        </w:rPr>
        <w:t>～</w:t>
      </w:r>
      <w:r w:rsidRPr="00AB497A">
        <w:rPr>
          <w:rFonts w:eastAsia="宋体"/>
          <w:sz w:val="21"/>
          <w:szCs w:val="21"/>
        </w:rPr>
        <w:t>18</w:t>
      </w:r>
      <w:r w:rsidR="005306A8" w:rsidRPr="00AB497A">
        <w:rPr>
          <w:rFonts w:eastAsia="宋体" w:hAnsi="宋体"/>
          <w:sz w:val="21"/>
          <w:szCs w:val="21"/>
        </w:rPr>
        <w:t>%</w:t>
      </w:r>
      <w:r w:rsidRPr="00AB497A">
        <w:rPr>
          <w:rFonts w:eastAsia="宋体" w:hAnsi="宋体"/>
          <w:sz w:val="21"/>
          <w:szCs w:val="21"/>
        </w:rPr>
        <w:t>（含该范围上下限本数）报价，投标下浮率超出合理范围区间的，其商务标作废标处理。</w:t>
      </w:r>
    </w:p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AB497A">
        <w:rPr>
          <w:rFonts w:eastAsia="宋体"/>
          <w:sz w:val="21"/>
          <w:szCs w:val="21"/>
        </w:rPr>
        <w:t>1</w:t>
      </w:r>
      <w:r w:rsidRPr="00AB497A">
        <w:rPr>
          <w:rFonts w:eastAsia="宋体" w:hAnsi="宋体"/>
          <w:sz w:val="21"/>
          <w:szCs w:val="21"/>
        </w:rPr>
        <w:t>、投标报价细微偏差修正：</w:t>
      </w:r>
    </w:p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b/>
          <w:sz w:val="21"/>
          <w:szCs w:val="21"/>
        </w:rPr>
      </w:pPr>
      <w:r w:rsidRPr="00AB497A">
        <w:rPr>
          <w:rFonts w:eastAsia="宋体"/>
          <w:sz w:val="21"/>
          <w:szCs w:val="21"/>
        </w:rPr>
        <w:t xml:space="preserve"> </w:t>
      </w:r>
      <w:r w:rsidRPr="00AB497A">
        <w:rPr>
          <w:rFonts w:eastAsia="宋体" w:hAnsi="宋体"/>
          <w:sz w:val="21"/>
          <w:szCs w:val="21"/>
        </w:rPr>
        <w:t>投标报价采用总价下浮率报价形式，以</w:t>
      </w:r>
      <w:r w:rsidR="005306A8" w:rsidRPr="00AB497A">
        <w:rPr>
          <w:rFonts w:eastAsia="宋体" w:hAnsi="宋体" w:hint="eastAsia"/>
          <w:sz w:val="21"/>
          <w:szCs w:val="21"/>
        </w:rPr>
        <w:t>%</w:t>
      </w:r>
      <w:r w:rsidRPr="00AB497A">
        <w:rPr>
          <w:rFonts w:eastAsia="宋体" w:hAnsi="宋体"/>
          <w:sz w:val="21"/>
          <w:szCs w:val="21"/>
        </w:rPr>
        <w:t>表示，最多保留两位小数。对未按此规定进行报价的投标人，其商务标将被视作有细微偏差，允许投标人按上述规定进行修正，第三位小数四舍五入。</w:t>
      </w:r>
    </w:p>
    <w:p w:rsidR="004547C6" w:rsidRPr="00AB497A" w:rsidRDefault="004547C6" w:rsidP="004547C6">
      <w:pPr>
        <w:spacing w:line="400" w:lineRule="exact"/>
        <w:ind w:firstLineChars="200" w:firstLine="422"/>
        <w:rPr>
          <w:rFonts w:eastAsia="宋体"/>
          <w:sz w:val="21"/>
          <w:szCs w:val="21"/>
        </w:rPr>
      </w:pPr>
      <w:r w:rsidRPr="00AB497A">
        <w:rPr>
          <w:rFonts w:eastAsia="宋体"/>
          <w:b/>
          <w:sz w:val="21"/>
          <w:szCs w:val="21"/>
        </w:rPr>
        <w:t>2</w:t>
      </w:r>
      <w:r w:rsidRPr="00AB497A">
        <w:rPr>
          <w:rFonts w:eastAsia="宋体" w:hAnsi="宋体"/>
          <w:b/>
          <w:sz w:val="21"/>
          <w:szCs w:val="21"/>
        </w:rPr>
        <w:t>、</w:t>
      </w:r>
      <w:r w:rsidRPr="00AB497A">
        <w:rPr>
          <w:rFonts w:eastAsia="宋体" w:hAnsi="宋体"/>
          <w:sz w:val="21"/>
          <w:szCs w:val="21"/>
        </w:rPr>
        <w:t>评分基准下浮率的确定：</w:t>
      </w:r>
    </w:p>
    <w:p w:rsidR="004547C6" w:rsidRPr="00AB497A" w:rsidRDefault="004547C6" w:rsidP="004547C6">
      <w:pPr>
        <w:pStyle w:val="a3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AB497A">
        <w:rPr>
          <w:rFonts w:ascii="Times New Roman" w:cs="Times New Roman"/>
        </w:rPr>
        <w:t>开标时现场公开由招标单位代表人，在规定下浮范围内（</w:t>
      </w:r>
      <w:r w:rsidR="00D900F3" w:rsidRPr="00AB497A">
        <w:rPr>
          <w:rFonts w:ascii="Times New Roman" w:hAnsi="Times New Roman" w:cs="Times New Roman" w:hint="eastAsia"/>
        </w:rPr>
        <w:t>12</w:t>
      </w:r>
      <w:r w:rsidRPr="00AB497A">
        <w:rPr>
          <w:rFonts w:ascii="Times New Roman" w:hAnsi="Times New Roman" w:cs="Times New Roman"/>
        </w:rPr>
        <w:t>%</w:t>
      </w:r>
      <w:r w:rsidRPr="00AB497A">
        <w:rPr>
          <w:rFonts w:ascii="Times New Roman" w:cs="Times New Roman"/>
        </w:rPr>
        <w:t>～</w:t>
      </w:r>
      <w:r w:rsidR="00D900F3" w:rsidRPr="00AB497A">
        <w:rPr>
          <w:rFonts w:ascii="Times New Roman" w:cs="Times New Roman" w:hint="eastAsia"/>
        </w:rPr>
        <w:t>1</w:t>
      </w:r>
      <w:r w:rsidRPr="00AB497A">
        <w:rPr>
          <w:rFonts w:ascii="Times New Roman" w:hAnsi="Times New Roman" w:cs="Times New Roman"/>
        </w:rPr>
        <w:t>8%</w:t>
      </w:r>
      <w:r w:rsidRPr="00AB497A">
        <w:rPr>
          <w:rFonts w:ascii="Times New Roman" w:cs="Times New Roman"/>
        </w:rPr>
        <w:t>）按每隔</w:t>
      </w:r>
      <w:r w:rsidRPr="00AB497A">
        <w:rPr>
          <w:rFonts w:ascii="Times New Roman" w:hAnsi="Times New Roman" w:cs="Times New Roman"/>
        </w:rPr>
        <w:t>0.2%</w:t>
      </w:r>
      <w:r w:rsidRPr="00AB497A">
        <w:rPr>
          <w:rFonts w:ascii="Times New Roman" w:cs="Times New Roman"/>
        </w:rPr>
        <w:t>的排</w:t>
      </w:r>
      <w:r w:rsidRPr="00AB497A">
        <w:rPr>
          <w:rFonts w:ascii="Times New Roman" w:cs="Times New Roman"/>
        </w:rPr>
        <w:lastRenderedPageBreak/>
        <w:t>序值分别在</w:t>
      </w:r>
      <w:r w:rsidRPr="00AB497A">
        <w:rPr>
          <w:rFonts w:ascii="Times New Roman" w:hAnsi="Times New Roman" w:cs="Times New Roman"/>
          <w:szCs w:val="21"/>
        </w:rPr>
        <w:t>12%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12.2%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12.4%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12.6%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12.8%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13%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13.2%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13.4%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13.6%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13.8%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14.2%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14.4%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14.6%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14.8%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15%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15.2%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15.4%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15.6%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15.8%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16.2%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16.4%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16.6%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16.8%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17%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17.2%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17.4%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17.6%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17.8%</w:t>
      </w:r>
      <w:r w:rsidRPr="00AB497A">
        <w:rPr>
          <w:rFonts w:ascii="Times New Roman" w:cs="Times New Roman"/>
          <w:szCs w:val="21"/>
        </w:rPr>
        <w:t>、</w:t>
      </w:r>
      <w:r w:rsidRPr="00AB497A">
        <w:rPr>
          <w:rFonts w:ascii="Times New Roman" w:hAnsi="Times New Roman" w:cs="Times New Roman"/>
          <w:szCs w:val="21"/>
        </w:rPr>
        <w:t>18%</w:t>
      </w:r>
      <w:r w:rsidRPr="00AB497A">
        <w:rPr>
          <w:rFonts w:ascii="Times New Roman" w:cs="Times New Roman"/>
          <w:szCs w:val="21"/>
        </w:rPr>
        <w:t>，共</w:t>
      </w:r>
      <w:r w:rsidRPr="00AB497A">
        <w:rPr>
          <w:rFonts w:ascii="Times New Roman" w:hAnsi="Times New Roman" w:cs="Times New Roman"/>
          <w:szCs w:val="21"/>
        </w:rPr>
        <w:t>31</w:t>
      </w:r>
      <w:r w:rsidRPr="00AB497A">
        <w:rPr>
          <w:rFonts w:ascii="Times New Roman" w:cs="Times New Roman"/>
          <w:szCs w:val="21"/>
        </w:rPr>
        <w:t>个数值，随机抽取</w:t>
      </w:r>
      <w:r w:rsidRPr="00AB497A">
        <w:rPr>
          <w:rFonts w:ascii="Times New Roman" w:hAnsi="Times New Roman" w:cs="Times New Roman"/>
          <w:szCs w:val="21"/>
        </w:rPr>
        <w:t>3</w:t>
      </w:r>
      <w:r w:rsidRPr="00AB497A">
        <w:rPr>
          <w:rFonts w:ascii="Times New Roman" w:cs="Times New Roman"/>
          <w:szCs w:val="21"/>
        </w:rPr>
        <w:t>次，每次在</w:t>
      </w:r>
      <w:r w:rsidRPr="00AB497A">
        <w:rPr>
          <w:rFonts w:ascii="Times New Roman" w:hAnsi="Times New Roman" w:cs="Times New Roman"/>
          <w:szCs w:val="21"/>
        </w:rPr>
        <w:t>31</w:t>
      </w:r>
      <w:r w:rsidRPr="00AB497A">
        <w:rPr>
          <w:rFonts w:ascii="Times New Roman" w:cs="Times New Roman"/>
          <w:szCs w:val="21"/>
        </w:rPr>
        <w:t>个数值中抽取，每次随机抽定</w:t>
      </w:r>
      <w:r w:rsidRPr="00AB497A">
        <w:rPr>
          <w:rFonts w:ascii="Times New Roman" w:hAnsi="Times New Roman" w:cs="Times New Roman"/>
          <w:szCs w:val="21"/>
        </w:rPr>
        <w:t>1</w:t>
      </w:r>
      <w:r w:rsidRPr="00AB497A">
        <w:rPr>
          <w:rFonts w:ascii="Times New Roman" w:cs="Times New Roman"/>
          <w:szCs w:val="21"/>
        </w:rPr>
        <w:t>个数值，再取该</w:t>
      </w:r>
      <w:r w:rsidRPr="00AB497A">
        <w:rPr>
          <w:rFonts w:ascii="Times New Roman" w:hAnsi="Times New Roman" w:cs="Times New Roman"/>
          <w:szCs w:val="21"/>
        </w:rPr>
        <w:t>3</w:t>
      </w:r>
      <w:r w:rsidRPr="00AB497A">
        <w:rPr>
          <w:rFonts w:ascii="Times New Roman" w:cs="Times New Roman"/>
          <w:szCs w:val="21"/>
        </w:rPr>
        <w:t>个数值的算术平均值作为评分基准下浮率（计算结果小数点后保留</w:t>
      </w:r>
      <w:r w:rsidRPr="00AB497A">
        <w:rPr>
          <w:rFonts w:ascii="Times New Roman" w:hAnsi="Times New Roman" w:cs="Times New Roman"/>
          <w:szCs w:val="21"/>
        </w:rPr>
        <w:t>2</w:t>
      </w:r>
      <w:r w:rsidRPr="00AB497A">
        <w:rPr>
          <w:rFonts w:ascii="Times New Roman" w:cs="Times New Roman"/>
          <w:szCs w:val="21"/>
        </w:rPr>
        <w:t>位，第</w:t>
      </w:r>
      <w:r w:rsidRPr="00AB497A">
        <w:rPr>
          <w:rFonts w:ascii="Times New Roman" w:hAnsi="Times New Roman" w:cs="Times New Roman"/>
          <w:szCs w:val="21"/>
        </w:rPr>
        <w:t>3</w:t>
      </w:r>
      <w:r w:rsidRPr="00AB497A">
        <w:rPr>
          <w:rFonts w:ascii="Times New Roman" w:cs="Times New Roman"/>
          <w:szCs w:val="21"/>
        </w:rPr>
        <w:t>位四舍五入）。</w:t>
      </w:r>
    </w:p>
    <w:p w:rsidR="004547C6" w:rsidRPr="00AB497A" w:rsidRDefault="007C487F" w:rsidP="004547C6">
      <w:pPr>
        <w:spacing w:line="400" w:lineRule="exact"/>
        <w:ind w:firstLineChars="200" w:firstLine="422"/>
        <w:rPr>
          <w:rFonts w:eastAsia="宋体"/>
          <w:sz w:val="21"/>
          <w:szCs w:val="21"/>
        </w:rPr>
      </w:pPr>
      <w:r>
        <w:rPr>
          <w:rFonts w:eastAsia="宋体" w:hint="eastAsia"/>
          <w:b/>
          <w:sz w:val="21"/>
          <w:szCs w:val="21"/>
        </w:rPr>
        <w:t>3</w:t>
      </w:r>
      <w:r w:rsidR="004547C6" w:rsidRPr="00AB497A">
        <w:rPr>
          <w:rFonts w:eastAsia="宋体" w:hAnsi="宋体"/>
          <w:b/>
          <w:sz w:val="21"/>
          <w:szCs w:val="21"/>
        </w:rPr>
        <w:t>、</w:t>
      </w:r>
      <w:r w:rsidR="004547C6" w:rsidRPr="00AB497A">
        <w:rPr>
          <w:rFonts w:eastAsia="宋体" w:hAnsi="宋体"/>
          <w:sz w:val="21"/>
          <w:szCs w:val="21"/>
        </w:rPr>
        <w:t>商务得分计算（满分为</w:t>
      </w:r>
      <w:r w:rsidR="004547C6" w:rsidRPr="00AB497A">
        <w:rPr>
          <w:rFonts w:eastAsia="宋体"/>
          <w:sz w:val="21"/>
          <w:szCs w:val="21"/>
        </w:rPr>
        <w:t>99</w:t>
      </w:r>
      <w:r w:rsidR="004547C6" w:rsidRPr="00AB497A">
        <w:rPr>
          <w:rFonts w:eastAsia="宋体" w:hAnsi="宋体"/>
          <w:sz w:val="21"/>
          <w:szCs w:val="21"/>
        </w:rPr>
        <w:t>分）：</w:t>
      </w:r>
    </w:p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AB497A">
        <w:rPr>
          <w:rFonts w:eastAsia="宋体" w:hAnsi="宋体"/>
          <w:sz w:val="21"/>
          <w:szCs w:val="21"/>
        </w:rPr>
        <w:t>商务得分值的计算：</w:t>
      </w:r>
    </w:p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AB497A">
        <w:rPr>
          <w:rFonts w:eastAsia="宋体"/>
          <w:sz w:val="21"/>
          <w:szCs w:val="21"/>
        </w:rPr>
        <w:t>1)</w:t>
      </w:r>
      <w:r w:rsidRPr="00AB497A">
        <w:rPr>
          <w:rFonts w:eastAsia="宋体"/>
          <w:sz w:val="21"/>
          <w:szCs w:val="21"/>
        </w:rPr>
        <w:tab/>
      </w:r>
      <w:r w:rsidRPr="00AB497A">
        <w:rPr>
          <w:rFonts w:eastAsia="宋体" w:hAnsi="宋体"/>
          <w:sz w:val="21"/>
          <w:szCs w:val="21"/>
        </w:rPr>
        <w:t>投标下浮率等于评分基准下浮率时，得满分</w:t>
      </w:r>
      <w:r w:rsidRPr="00AB497A">
        <w:rPr>
          <w:rFonts w:eastAsia="宋体"/>
          <w:sz w:val="21"/>
          <w:szCs w:val="21"/>
        </w:rPr>
        <w:t>99</w:t>
      </w:r>
      <w:r w:rsidRPr="00AB497A">
        <w:rPr>
          <w:rFonts w:eastAsia="宋体" w:hAnsi="宋体"/>
          <w:sz w:val="21"/>
          <w:szCs w:val="21"/>
        </w:rPr>
        <w:t>分。</w:t>
      </w:r>
    </w:p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AB497A">
        <w:rPr>
          <w:rFonts w:eastAsia="宋体"/>
          <w:sz w:val="21"/>
          <w:szCs w:val="21"/>
        </w:rPr>
        <w:t>2)</w:t>
      </w:r>
      <w:r w:rsidRPr="00AB497A">
        <w:rPr>
          <w:rFonts w:eastAsia="宋体"/>
          <w:sz w:val="21"/>
          <w:szCs w:val="21"/>
        </w:rPr>
        <w:tab/>
      </w:r>
      <w:r w:rsidRPr="00AB497A">
        <w:rPr>
          <w:rFonts w:eastAsia="宋体" w:hAnsi="宋体"/>
          <w:sz w:val="21"/>
          <w:szCs w:val="21"/>
        </w:rPr>
        <w:t>投标下浮率小于评分基准下浮率时，商务得分计算公式如下</w:t>
      </w:r>
      <w:r w:rsidR="00DE0A97" w:rsidRPr="00AB497A">
        <w:rPr>
          <w:rFonts w:eastAsia="宋体" w:hAnsi="宋体"/>
          <w:sz w:val="21"/>
          <w:szCs w:val="21"/>
        </w:rPr>
        <w:t>（最终结果保留小数</w:t>
      </w:r>
      <w:r w:rsidR="00DE0A97" w:rsidRPr="00AB497A">
        <w:rPr>
          <w:rFonts w:eastAsia="宋体"/>
          <w:sz w:val="21"/>
          <w:szCs w:val="21"/>
        </w:rPr>
        <w:t>2</w:t>
      </w:r>
      <w:r w:rsidR="00DE0A97" w:rsidRPr="00AB497A">
        <w:rPr>
          <w:rFonts w:eastAsia="宋体" w:hAnsi="宋体"/>
          <w:sz w:val="21"/>
          <w:szCs w:val="21"/>
        </w:rPr>
        <w:t>位，第</w:t>
      </w:r>
      <w:r w:rsidR="00DE0A97" w:rsidRPr="00AB497A">
        <w:rPr>
          <w:rFonts w:eastAsia="宋体"/>
          <w:sz w:val="21"/>
          <w:szCs w:val="21"/>
        </w:rPr>
        <w:t>3</w:t>
      </w:r>
      <w:r w:rsidR="00DE0A97" w:rsidRPr="00AB497A">
        <w:rPr>
          <w:rFonts w:eastAsia="宋体" w:hAnsi="宋体"/>
          <w:sz w:val="21"/>
          <w:szCs w:val="21"/>
        </w:rPr>
        <w:t>位四舍五入）</w:t>
      </w:r>
      <w:r w:rsidRPr="00AB497A">
        <w:rPr>
          <w:rFonts w:eastAsia="宋体" w:hAnsi="宋体"/>
          <w:sz w:val="21"/>
          <w:szCs w:val="21"/>
        </w:rPr>
        <w:t>：</w:t>
      </w:r>
    </w:p>
    <w:p w:rsidR="004547C6" w:rsidRPr="00AB497A" w:rsidRDefault="004547C6" w:rsidP="004547C6">
      <w:pPr>
        <w:spacing w:line="480" w:lineRule="auto"/>
        <w:ind w:firstLineChars="200" w:firstLine="420"/>
        <w:jc w:val="center"/>
        <w:rPr>
          <w:rFonts w:eastAsia="宋体"/>
          <w:sz w:val="21"/>
          <w:szCs w:val="21"/>
        </w:rPr>
      </w:pPr>
      <w:r w:rsidRPr="00AB497A">
        <w:rPr>
          <w:rFonts w:eastAsia="宋体" w:hAnsi="宋体"/>
          <w:sz w:val="21"/>
          <w:szCs w:val="21"/>
        </w:rPr>
        <w:t>商务得分</w:t>
      </w:r>
      <w:r w:rsidRPr="00AB497A">
        <w:rPr>
          <w:rFonts w:eastAsia="宋体"/>
          <w:sz w:val="21"/>
          <w:szCs w:val="21"/>
        </w:rPr>
        <w:t>=99</w:t>
      </w:r>
      <w:r w:rsidRPr="00AB497A">
        <w:rPr>
          <w:rFonts w:eastAsia="宋体" w:hAnsi="宋体"/>
          <w:sz w:val="21"/>
          <w:szCs w:val="21"/>
        </w:rPr>
        <w:t>－</w:t>
      </w:r>
      <w:r w:rsidRPr="00AB497A">
        <w:rPr>
          <w:rFonts w:eastAsia="宋体"/>
          <w:sz w:val="21"/>
          <w:szCs w:val="21"/>
        </w:rPr>
        <w:t xml:space="preserve">| </w:t>
      </w:r>
      <w:r w:rsidR="00675AC4" w:rsidRPr="00AB497A">
        <w:rPr>
          <w:rFonts w:eastAsia="宋体"/>
          <w:sz w:val="21"/>
          <w:szCs w:val="21"/>
        </w:rPr>
        <w:fldChar w:fldCharType="begin"/>
      </w:r>
      <w:r w:rsidRPr="00AB497A">
        <w:rPr>
          <w:rFonts w:eastAsia="宋体"/>
          <w:sz w:val="21"/>
          <w:szCs w:val="21"/>
        </w:rPr>
        <w:instrText xml:space="preserve"> EQ \F(</w:instrText>
      </w:r>
      <w:r w:rsidRPr="00AB497A">
        <w:rPr>
          <w:rFonts w:eastAsia="宋体" w:hAnsi="宋体"/>
          <w:sz w:val="21"/>
          <w:szCs w:val="21"/>
        </w:rPr>
        <w:instrText>（</w:instrText>
      </w:r>
      <w:r w:rsidRPr="00AB497A">
        <w:rPr>
          <w:rFonts w:eastAsia="宋体"/>
          <w:sz w:val="21"/>
          <w:szCs w:val="21"/>
        </w:rPr>
        <w:instrText>1-</w:instrText>
      </w:r>
      <w:r w:rsidRPr="00AB497A">
        <w:rPr>
          <w:rFonts w:eastAsia="宋体" w:hAnsi="宋体"/>
          <w:sz w:val="21"/>
          <w:szCs w:val="21"/>
        </w:rPr>
        <w:instrText>投标下浮率）</w:instrText>
      </w:r>
      <w:r w:rsidRPr="00AB497A">
        <w:rPr>
          <w:rFonts w:eastAsia="宋体"/>
          <w:sz w:val="21"/>
          <w:szCs w:val="21"/>
        </w:rPr>
        <w:instrText>-</w:instrText>
      </w:r>
      <w:r w:rsidRPr="00AB497A">
        <w:rPr>
          <w:rFonts w:eastAsia="宋体" w:hAnsi="宋体"/>
          <w:sz w:val="21"/>
          <w:szCs w:val="21"/>
        </w:rPr>
        <w:instrText>（</w:instrText>
      </w:r>
      <w:r w:rsidRPr="00AB497A">
        <w:rPr>
          <w:rFonts w:eastAsia="宋体"/>
          <w:sz w:val="21"/>
          <w:szCs w:val="21"/>
        </w:rPr>
        <w:instrText>1-</w:instrText>
      </w:r>
      <w:r w:rsidRPr="00AB497A">
        <w:rPr>
          <w:rFonts w:eastAsia="宋体" w:hAnsi="宋体"/>
          <w:sz w:val="21"/>
          <w:szCs w:val="21"/>
        </w:rPr>
        <w:instrText>评分基准下浮率）</w:instrText>
      </w:r>
      <w:r w:rsidRPr="00AB497A">
        <w:rPr>
          <w:rFonts w:eastAsia="宋体"/>
          <w:sz w:val="21"/>
          <w:szCs w:val="21"/>
        </w:rPr>
        <w:instrText>,1-</w:instrText>
      </w:r>
      <w:r w:rsidRPr="00AB497A">
        <w:rPr>
          <w:rFonts w:eastAsia="宋体" w:hAnsi="宋体"/>
          <w:sz w:val="21"/>
          <w:szCs w:val="21"/>
        </w:rPr>
        <w:instrText>评分基准下浮率</w:instrText>
      </w:r>
      <w:r w:rsidRPr="00AB497A">
        <w:rPr>
          <w:rFonts w:eastAsia="宋体"/>
          <w:sz w:val="21"/>
          <w:szCs w:val="21"/>
        </w:rPr>
        <w:instrText xml:space="preserve">) </w:instrText>
      </w:r>
      <w:r w:rsidR="00675AC4" w:rsidRPr="00AB497A">
        <w:rPr>
          <w:rFonts w:eastAsia="宋体"/>
          <w:sz w:val="21"/>
          <w:szCs w:val="21"/>
        </w:rPr>
        <w:fldChar w:fldCharType="end"/>
      </w:r>
      <w:r w:rsidRPr="00AB497A">
        <w:rPr>
          <w:rFonts w:eastAsia="宋体"/>
          <w:sz w:val="21"/>
          <w:szCs w:val="21"/>
        </w:rPr>
        <w:t>|×100×0.</w:t>
      </w:r>
      <w:r w:rsidR="0065134C">
        <w:rPr>
          <w:rFonts w:eastAsia="宋体" w:hint="eastAsia"/>
          <w:sz w:val="21"/>
          <w:szCs w:val="21"/>
        </w:rPr>
        <w:t>9</w:t>
      </w:r>
    </w:p>
    <w:p w:rsidR="004547C6" w:rsidRPr="00AB497A" w:rsidRDefault="004547C6" w:rsidP="004547C6">
      <w:pPr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AB497A">
        <w:rPr>
          <w:rFonts w:eastAsia="宋体"/>
          <w:sz w:val="21"/>
          <w:szCs w:val="21"/>
        </w:rPr>
        <w:t>3)</w:t>
      </w:r>
      <w:r w:rsidRPr="00AB497A">
        <w:rPr>
          <w:rFonts w:eastAsia="宋体"/>
          <w:sz w:val="21"/>
          <w:szCs w:val="21"/>
        </w:rPr>
        <w:tab/>
      </w:r>
      <w:r w:rsidR="00D900F3" w:rsidRPr="00AB497A">
        <w:rPr>
          <w:rFonts w:eastAsia="宋体" w:hint="eastAsia"/>
          <w:sz w:val="21"/>
          <w:szCs w:val="21"/>
        </w:rPr>
        <w:t>投</w:t>
      </w:r>
      <w:r w:rsidRPr="00AB497A">
        <w:rPr>
          <w:rFonts w:eastAsia="宋体" w:hAnsi="宋体"/>
          <w:sz w:val="21"/>
          <w:szCs w:val="21"/>
        </w:rPr>
        <w:t>标下浮率大于评分基准下浮率时，商务得分计算公式如下</w:t>
      </w:r>
      <w:r w:rsidR="00DE0A97" w:rsidRPr="00AB497A">
        <w:rPr>
          <w:rFonts w:eastAsia="宋体" w:hAnsi="宋体"/>
          <w:sz w:val="21"/>
          <w:szCs w:val="21"/>
        </w:rPr>
        <w:t>（最终结果保留小数</w:t>
      </w:r>
      <w:r w:rsidR="00DE0A97" w:rsidRPr="00AB497A">
        <w:rPr>
          <w:rFonts w:eastAsia="宋体"/>
          <w:sz w:val="21"/>
          <w:szCs w:val="21"/>
        </w:rPr>
        <w:t>2</w:t>
      </w:r>
      <w:r w:rsidR="00DE0A97" w:rsidRPr="00AB497A">
        <w:rPr>
          <w:rFonts w:eastAsia="宋体" w:hAnsi="宋体"/>
          <w:sz w:val="21"/>
          <w:szCs w:val="21"/>
        </w:rPr>
        <w:t>位，第</w:t>
      </w:r>
      <w:r w:rsidR="00DE0A97" w:rsidRPr="00AB497A">
        <w:rPr>
          <w:rFonts w:eastAsia="宋体"/>
          <w:sz w:val="21"/>
          <w:szCs w:val="21"/>
        </w:rPr>
        <w:t>3</w:t>
      </w:r>
      <w:r w:rsidR="00DE0A97" w:rsidRPr="00AB497A">
        <w:rPr>
          <w:rFonts w:eastAsia="宋体" w:hAnsi="宋体"/>
          <w:sz w:val="21"/>
          <w:szCs w:val="21"/>
        </w:rPr>
        <w:t>位四舍五入）</w:t>
      </w:r>
      <w:r w:rsidR="00DE0A97">
        <w:rPr>
          <w:rFonts w:eastAsia="宋体" w:hAnsi="宋体"/>
          <w:sz w:val="21"/>
          <w:szCs w:val="21"/>
        </w:rPr>
        <w:t>：</w:t>
      </w:r>
    </w:p>
    <w:p w:rsidR="004547C6" w:rsidRPr="00AB497A" w:rsidRDefault="004547C6" w:rsidP="004547C6">
      <w:pPr>
        <w:spacing w:line="480" w:lineRule="auto"/>
        <w:ind w:firstLineChars="200" w:firstLine="420"/>
        <w:jc w:val="center"/>
        <w:rPr>
          <w:rFonts w:eastAsia="宋体"/>
          <w:sz w:val="21"/>
          <w:szCs w:val="21"/>
        </w:rPr>
      </w:pPr>
      <w:r w:rsidRPr="00AB497A">
        <w:rPr>
          <w:rFonts w:eastAsia="宋体" w:hAnsi="宋体"/>
          <w:sz w:val="21"/>
          <w:szCs w:val="21"/>
        </w:rPr>
        <w:t>商务得分</w:t>
      </w:r>
      <w:r w:rsidRPr="00AB497A">
        <w:rPr>
          <w:rFonts w:eastAsia="宋体"/>
          <w:sz w:val="21"/>
          <w:szCs w:val="21"/>
        </w:rPr>
        <w:t>=99</w:t>
      </w:r>
      <w:r w:rsidRPr="00AB497A">
        <w:rPr>
          <w:rFonts w:eastAsia="宋体" w:hAnsi="宋体"/>
          <w:sz w:val="21"/>
          <w:szCs w:val="21"/>
        </w:rPr>
        <w:t>－</w:t>
      </w:r>
      <w:r w:rsidRPr="00AB497A">
        <w:rPr>
          <w:rFonts w:eastAsia="宋体"/>
          <w:sz w:val="21"/>
          <w:szCs w:val="21"/>
        </w:rPr>
        <w:t xml:space="preserve">| </w:t>
      </w:r>
      <w:r w:rsidR="00675AC4" w:rsidRPr="00AB497A">
        <w:rPr>
          <w:rFonts w:eastAsia="宋体"/>
          <w:sz w:val="21"/>
          <w:szCs w:val="21"/>
        </w:rPr>
        <w:fldChar w:fldCharType="begin"/>
      </w:r>
      <w:r w:rsidRPr="00AB497A">
        <w:rPr>
          <w:rFonts w:eastAsia="宋体"/>
          <w:sz w:val="21"/>
          <w:szCs w:val="21"/>
        </w:rPr>
        <w:instrText xml:space="preserve"> EQ \F(</w:instrText>
      </w:r>
      <w:r w:rsidRPr="00AB497A">
        <w:rPr>
          <w:rFonts w:eastAsia="宋体" w:hAnsi="宋体"/>
          <w:sz w:val="21"/>
          <w:szCs w:val="21"/>
        </w:rPr>
        <w:instrText>（</w:instrText>
      </w:r>
      <w:r w:rsidRPr="00AB497A">
        <w:rPr>
          <w:rFonts w:eastAsia="宋体"/>
          <w:sz w:val="21"/>
          <w:szCs w:val="21"/>
        </w:rPr>
        <w:instrText>1-</w:instrText>
      </w:r>
      <w:r w:rsidRPr="00AB497A">
        <w:rPr>
          <w:rFonts w:eastAsia="宋体" w:hAnsi="宋体"/>
          <w:sz w:val="21"/>
          <w:szCs w:val="21"/>
        </w:rPr>
        <w:instrText>投标下浮率）</w:instrText>
      </w:r>
      <w:r w:rsidRPr="00AB497A">
        <w:rPr>
          <w:rFonts w:eastAsia="宋体"/>
          <w:sz w:val="21"/>
          <w:szCs w:val="21"/>
        </w:rPr>
        <w:instrText>-</w:instrText>
      </w:r>
      <w:r w:rsidRPr="00AB497A">
        <w:rPr>
          <w:rFonts w:eastAsia="宋体" w:hAnsi="宋体"/>
          <w:sz w:val="21"/>
          <w:szCs w:val="21"/>
        </w:rPr>
        <w:instrText>（</w:instrText>
      </w:r>
      <w:r w:rsidRPr="00AB497A">
        <w:rPr>
          <w:rFonts w:eastAsia="宋体"/>
          <w:sz w:val="21"/>
          <w:szCs w:val="21"/>
        </w:rPr>
        <w:instrText>1-</w:instrText>
      </w:r>
      <w:r w:rsidRPr="00AB497A">
        <w:rPr>
          <w:rFonts w:eastAsia="宋体" w:hAnsi="宋体"/>
          <w:sz w:val="21"/>
          <w:szCs w:val="21"/>
        </w:rPr>
        <w:instrText>评分基准下浮率）</w:instrText>
      </w:r>
      <w:r w:rsidRPr="00AB497A">
        <w:rPr>
          <w:rFonts w:eastAsia="宋体"/>
          <w:sz w:val="21"/>
          <w:szCs w:val="21"/>
        </w:rPr>
        <w:instrText>,1-</w:instrText>
      </w:r>
      <w:r w:rsidRPr="00AB497A">
        <w:rPr>
          <w:rFonts w:eastAsia="宋体" w:hAnsi="宋体"/>
          <w:sz w:val="21"/>
          <w:szCs w:val="21"/>
        </w:rPr>
        <w:instrText>评分基准下浮率</w:instrText>
      </w:r>
      <w:r w:rsidRPr="00AB497A">
        <w:rPr>
          <w:rFonts w:eastAsia="宋体"/>
          <w:sz w:val="21"/>
          <w:szCs w:val="21"/>
        </w:rPr>
        <w:instrText xml:space="preserve">) </w:instrText>
      </w:r>
      <w:r w:rsidR="00675AC4" w:rsidRPr="00AB497A">
        <w:rPr>
          <w:rFonts w:eastAsia="宋体"/>
          <w:sz w:val="21"/>
          <w:szCs w:val="21"/>
        </w:rPr>
        <w:fldChar w:fldCharType="end"/>
      </w:r>
      <w:r w:rsidRPr="00AB497A">
        <w:rPr>
          <w:rFonts w:eastAsia="宋体"/>
          <w:sz w:val="21"/>
          <w:szCs w:val="21"/>
        </w:rPr>
        <w:t>|×100×0.</w:t>
      </w:r>
      <w:r w:rsidR="0065134C">
        <w:rPr>
          <w:rFonts w:eastAsia="宋体" w:hint="eastAsia"/>
          <w:sz w:val="21"/>
          <w:szCs w:val="21"/>
        </w:rPr>
        <w:t>6</w:t>
      </w:r>
    </w:p>
    <w:p w:rsidR="004547C6" w:rsidRPr="00AB497A" w:rsidRDefault="004547C6" w:rsidP="00D72B55">
      <w:pPr>
        <w:pStyle w:val="2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AB497A">
        <w:rPr>
          <w:rFonts w:ascii="Times New Roman" w:cs="Times New Roman"/>
        </w:rPr>
        <w:t>四、中标候选人的确定</w:t>
      </w:r>
    </w:p>
    <w:p w:rsidR="004547C6" w:rsidRPr="00AB497A" w:rsidRDefault="00D72B55" w:rsidP="00D72B55">
      <w:pPr>
        <w:pStyle w:val="2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AB497A">
        <w:rPr>
          <w:rFonts w:ascii="Times New Roman" w:cs="Times New Roman"/>
        </w:rPr>
        <w:t>（</w:t>
      </w:r>
      <w:r w:rsidRPr="00AB497A">
        <w:rPr>
          <w:rFonts w:ascii="Times New Roman" w:hAnsi="Times New Roman" w:cs="Times New Roman"/>
        </w:rPr>
        <w:t>1</w:t>
      </w:r>
      <w:r w:rsidRPr="00AB497A">
        <w:rPr>
          <w:rFonts w:ascii="Times New Roman" w:cs="Times New Roman"/>
        </w:rPr>
        <w:t>）</w:t>
      </w:r>
      <w:r w:rsidR="004547C6" w:rsidRPr="00AB497A">
        <w:rPr>
          <w:rFonts w:ascii="Times New Roman" w:cs="Times New Roman"/>
        </w:rPr>
        <w:t>投标人的总得分</w:t>
      </w:r>
      <w:r w:rsidR="004547C6" w:rsidRPr="00AB497A">
        <w:rPr>
          <w:rFonts w:ascii="Times New Roman" w:hAnsi="Times New Roman" w:cs="Times New Roman"/>
        </w:rPr>
        <w:t>=</w:t>
      </w:r>
      <w:r w:rsidR="004547C6" w:rsidRPr="00AB497A">
        <w:rPr>
          <w:rFonts w:ascii="Times New Roman" w:cs="Times New Roman"/>
        </w:rPr>
        <w:t>资信得分＋商务得分</w:t>
      </w:r>
    </w:p>
    <w:p w:rsidR="004547C6" w:rsidRDefault="00D72B55" w:rsidP="00D72B55">
      <w:pPr>
        <w:pStyle w:val="2"/>
        <w:numPr>
          <w:ilvl w:val="0"/>
          <w:numId w:val="0"/>
        </w:numPr>
        <w:ind w:left="420"/>
        <w:rPr>
          <w:rFonts w:ascii="Times New Roman" w:cs="Times New Roman"/>
        </w:rPr>
      </w:pPr>
      <w:r w:rsidRPr="00AB497A">
        <w:rPr>
          <w:rFonts w:ascii="Times New Roman" w:cs="Times New Roman"/>
        </w:rPr>
        <w:t>（</w:t>
      </w:r>
      <w:r w:rsidRPr="00AB497A">
        <w:rPr>
          <w:rFonts w:ascii="Times New Roman" w:hAnsi="Times New Roman" w:cs="Times New Roman"/>
        </w:rPr>
        <w:t>2</w:t>
      </w:r>
      <w:r w:rsidRPr="00AB497A">
        <w:rPr>
          <w:rFonts w:ascii="Times New Roman" w:cs="Times New Roman"/>
        </w:rPr>
        <w:t>）</w:t>
      </w:r>
      <w:r w:rsidR="004547C6" w:rsidRPr="00AB497A">
        <w:rPr>
          <w:rFonts w:ascii="Times New Roman" w:cs="Times New Roman"/>
        </w:rPr>
        <w:t>评标委员会按总得分由高到低的顺序推荐</w:t>
      </w:r>
      <w:r w:rsidR="004547C6" w:rsidRPr="00AB497A">
        <w:rPr>
          <w:rFonts w:ascii="Times New Roman" w:hAnsi="Times New Roman" w:cs="Times New Roman"/>
        </w:rPr>
        <w:t>1</w:t>
      </w:r>
      <w:r w:rsidR="004547C6" w:rsidRPr="00AB497A">
        <w:rPr>
          <w:rFonts w:ascii="Times New Roman" w:cs="Times New Roman"/>
        </w:rPr>
        <w:t>名中标候选人，即得分最高者为中标候选人。如出现得分并列的，以</w:t>
      </w:r>
      <w:r w:rsidR="00057104" w:rsidRPr="00AB497A">
        <w:t>投标下浮率</w:t>
      </w:r>
      <w:r w:rsidR="00057104">
        <w:rPr>
          <w:rFonts w:hint="eastAsia"/>
        </w:rPr>
        <w:t>大</w:t>
      </w:r>
      <w:r w:rsidR="004547C6" w:rsidRPr="00AB497A">
        <w:rPr>
          <w:rFonts w:ascii="Times New Roman" w:cs="Times New Roman"/>
        </w:rPr>
        <w:t>者排名在前；如均相同的，则抽签确定。</w:t>
      </w:r>
    </w:p>
    <w:p w:rsidR="001257C4" w:rsidRDefault="001257C4" w:rsidP="00D72B55">
      <w:pPr>
        <w:pStyle w:val="2"/>
        <w:numPr>
          <w:ilvl w:val="0"/>
          <w:numId w:val="0"/>
        </w:numPr>
        <w:ind w:left="420"/>
        <w:rPr>
          <w:rFonts w:ascii="Times New Roman" w:cs="Times New Roman"/>
        </w:rPr>
      </w:pPr>
    </w:p>
    <w:p w:rsidR="005E4091" w:rsidRDefault="005E4091" w:rsidP="004547C6"/>
    <w:p w:rsidR="001257C4" w:rsidRPr="00AB497A" w:rsidRDefault="001257C4" w:rsidP="004547C6"/>
    <w:sectPr w:rsidR="001257C4" w:rsidRPr="00AB497A" w:rsidSect="005E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3D" w:rsidRDefault="00950E3D" w:rsidP="00750789">
      <w:r>
        <w:separator/>
      </w:r>
    </w:p>
  </w:endnote>
  <w:endnote w:type="continuationSeparator" w:id="0">
    <w:p w:rsidR="00950E3D" w:rsidRDefault="00950E3D" w:rsidP="0075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3D" w:rsidRDefault="00950E3D" w:rsidP="00750789">
      <w:r>
        <w:separator/>
      </w:r>
    </w:p>
  </w:footnote>
  <w:footnote w:type="continuationSeparator" w:id="0">
    <w:p w:rsidR="00950E3D" w:rsidRDefault="00950E3D" w:rsidP="00750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2C0"/>
    <w:multiLevelType w:val="singleLevel"/>
    <w:tmpl w:val="FEBCF8F2"/>
    <w:lvl w:ilvl="0">
      <w:start w:val="2"/>
      <w:numFmt w:val="decimal"/>
      <w:pStyle w:val="2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7C6"/>
    <w:rsid w:val="00011D33"/>
    <w:rsid w:val="00057104"/>
    <w:rsid w:val="001257C4"/>
    <w:rsid w:val="00154F54"/>
    <w:rsid w:val="00170744"/>
    <w:rsid w:val="001E3FF6"/>
    <w:rsid w:val="002E79CB"/>
    <w:rsid w:val="00326D77"/>
    <w:rsid w:val="00383947"/>
    <w:rsid w:val="004547C6"/>
    <w:rsid w:val="004B5267"/>
    <w:rsid w:val="004D6B84"/>
    <w:rsid w:val="005306A8"/>
    <w:rsid w:val="005E4091"/>
    <w:rsid w:val="00617E76"/>
    <w:rsid w:val="0065134C"/>
    <w:rsid w:val="00675AC4"/>
    <w:rsid w:val="00750789"/>
    <w:rsid w:val="007761BD"/>
    <w:rsid w:val="007C2091"/>
    <w:rsid w:val="007C487F"/>
    <w:rsid w:val="008B54CD"/>
    <w:rsid w:val="009254A6"/>
    <w:rsid w:val="00950E3D"/>
    <w:rsid w:val="0096213B"/>
    <w:rsid w:val="009859ED"/>
    <w:rsid w:val="009912A0"/>
    <w:rsid w:val="00AB497A"/>
    <w:rsid w:val="00B75822"/>
    <w:rsid w:val="00D273B5"/>
    <w:rsid w:val="00D72B55"/>
    <w:rsid w:val="00D900F3"/>
    <w:rsid w:val="00D92A7F"/>
    <w:rsid w:val="00DE0A97"/>
    <w:rsid w:val="00E61A89"/>
    <w:rsid w:val="00ED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4547C6"/>
    <w:rPr>
      <w:rFonts w:ascii="宋体" w:hAnsi="宋体"/>
    </w:rPr>
  </w:style>
  <w:style w:type="character" w:customStyle="1" w:styleId="Char0">
    <w:name w:val="正文缩进 Char"/>
    <w:link w:val="a4"/>
    <w:rsid w:val="004547C6"/>
    <w:rPr>
      <w:rFonts w:eastAsia="仿宋_GB2312"/>
      <w:sz w:val="32"/>
    </w:rPr>
  </w:style>
  <w:style w:type="paragraph" w:styleId="a3">
    <w:name w:val="Body Text"/>
    <w:basedOn w:val="a"/>
    <w:link w:val="Char"/>
    <w:rsid w:val="004547C6"/>
    <w:pPr>
      <w:tabs>
        <w:tab w:val="left" w:pos="574"/>
      </w:tabs>
      <w:spacing w:line="288" w:lineRule="auto"/>
    </w:pPr>
    <w:rPr>
      <w:rFonts w:ascii="宋体" w:eastAsiaTheme="minorEastAsia" w:hAnsi="宋体" w:cstheme="minorBidi"/>
      <w:sz w:val="21"/>
      <w:szCs w:val="22"/>
    </w:rPr>
  </w:style>
  <w:style w:type="character" w:customStyle="1" w:styleId="Char1">
    <w:name w:val="正文文本 Char1"/>
    <w:basedOn w:val="a0"/>
    <w:link w:val="a3"/>
    <w:uiPriority w:val="99"/>
    <w:semiHidden/>
    <w:rsid w:val="004547C6"/>
    <w:rPr>
      <w:rFonts w:ascii="Times New Roman" w:eastAsia="仿宋_GB2312" w:hAnsi="Times New Roman" w:cs="Times New Roman"/>
      <w:sz w:val="32"/>
      <w:szCs w:val="20"/>
    </w:rPr>
  </w:style>
  <w:style w:type="paragraph" w:styleId="2">
    <w:name w:val="Body Text Indent 2"/>
    <w:basedOn w:val="a"/>
    <w:link w:val="2Char"/>
    <w:rsid w:val="004547C6"/>
    <w:pPr>
      <w:numPr>
        <w:numId w:val="1"/>
      </w:numPr>
      <w:spacing w:line="360" w:lineRule="exact"/>
      <w:ind w:firstLineChars="200" w:firstLine="420"/>
    </w:pPr>
    <w:rPr>
      <w:rFonts w:ascii="宋体" w:eastAsia="宋体" w:hAnsi="宋体" w:cs="宋体"/>
      <w:sz w:val="21"/>
      <w:szCs w:val="21"/>
    </w:rPr>
  </w:style>
  <w:style w:type="character" w:customStyle="1" w:styleId="2Char">
    <w:name w:val="正文文本缩进 2 Char"/>
    <w:basedOn w:val="a0"/>
    <w:link w:val="2"/>
    <w:rsid w:val="004547C6"/>
    <w:rPr>
      <w:rFonts w:ascii="宋体" w:eastAsia="宋体" w:hAnsi="宋体" w:cs="宋体"/>
      <w:szCs w:val="21"/>
    </w:rPr>
  </w:style>
  <w:style w:type="paragraph" w:styleId="a4">
    <w:name w:val="Normal Indent"/>
    <w:basedOn w:val="a"/>
    <w:link w:val="Char0"/>
    <w:rsid w:val="004547C6"/>
    <w:pPr>
      <w:ind w:firstLine="420"/>
    </w:pPr>
    <w:rPr>
      <w:rFonts w:asciiTheme="minorHAnsi" w:hAnsiTheme="minorHAnsi" w:cstheme="minorBidi"/>
      <w:szCs w:val="22"/>
    </w:rPr>
  </w:style>
  <w:style w:type="paragraph" w:styleId="a5">
    <w:name w:val="Balloon Text"/>
    <w:basedOn w:val="a"/>
    <w:link w:val="Char2"/>
    <w:uiPriority w:val="99"/>
    <w:semiHidden/>
    <w:unhideWhenUsed/>
    <w:rsid w:val="005306A8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306A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unhideWhenUsed/>
    <w:rsid w:val="0075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semiHidden/>
    <w:rsid w:val="0075078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unhideWhenUsed/>
    <w:rsid w:val="0075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semiHidden/>
    <w:rsid w:val="0075078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23</cp:revision>
  <cp:lastPrinted>2017-03-08T06:33:00Z</cp:lastPrinted>
  <dcterms:created xsi:type="dcterms:W3CDTF">2017-03-08T06:29:00Z</dcterms:created>
  <dcterms:modified xsi:type="dcterms:W3CDTF">2017-03-08T13:00:00Z</dcterms:modified>
</cp:coreProperties>
</file>